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隆尧县纪委</w:t>
      </w:r>
      <w:r>
        <w:rPr>
          <w:rFonts w:hint="eastAsia" w:ascii="Times New Roman" w:hAnsi="Times New Roman" w:eastAsia="方正小标宋_GBK" w:cs="Times New Roman"/>
          <w:sz w:val="44"/>
          <w:szCs w:val="44"/>
          <w:lang w:eastAsia="zh-CN"/>
        </w:rPr>
        <w:t>2020</w:t>
      </w:r>
      <w:r>
        <w:rPr>
          <w:rFonts w:hint="eastAsia" w:ascii="Times New Roman" w:hAnsi="Times New Roman" w:eastAsia="方正小标宋_GBK" w:cs="方正小标宋_GBK"/>
          <w:sz w:val="44"/>
          <w:szCs w:val="44"/>
        </w:rPr>
        <w:t>年部门预算信息公开情况说明</w:t>
      </w:r>
    </w:p>
    <w:p>
      <w:pPr>
        <w:jc w:val="center"/>
        <w:rPr>
          <w:rFonts w:ascii="Times New Roman" w:hAnsi="Times New Roman" w:eastAsia="方正小标宋_GBK" w:cs="Times New Roman"/>
          <w:sz w:val="44"/>
          <w:szCs w:val="44"/>
        </w:rPr>
      </w:pP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按照《预算法》、《地方预决算公开操作规程》等规定，现将隆尧县纪委</w:t>
      </w:r>
      <w:r>
        <w:rPr>
          <w:rFonts w:hint="eastAsia" w:ascii="微软雅黑" w:hAnsi="微软雅黑" w:eastAsia="微软雅黑" w:cs="微软雅黑"/>
          <w:sz w:val="32"/>
          <w:szCs w:val="32"/>
          <w:lang w:eastAsia="zh-CN"/>
        </w:rPr>
        <w:t>2020</w:t>
      </w:r>
      <w:r>
        <w:rPr>
          <w:rFonts w:hint="eastAsia" w:ascii="微软雅黑" w:hAnsi="微软雅黑" w:eastAsia="微软雅黑" w:cs="微软雅黑"/>
          <w:sz w:val="32"/>
          <w:szCs w:val="32"/>
        </w:rPr>
        <w:t>年部门预算公开如下：</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一、部门职责及机构设置情况</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b/>
          <w:bCs/>
          <w:sz w:val="32"/>
          <w:szCs w:val="32"/>
        </w:rPr>
        <w:t>部门职责：</w:t>
      </w:r>
      <w:r>
        <w:rPr>
          <w:rFonts w:hint="eastAsia" w:ascii="微软雅黑" w:hAnsi="微软雅黑" w:eastAsia="微软雅黑" w:cs="微软雅黑"/>
          <w:sz w:val="32"/>
          <w:szCs w:val="32"/>
          <w:lang w:eastAsia="zh-CN"/>
        </w:rPr>
        <w:t>根据《隆尧县纪委职能配置、内设机构和人员编制规定》， 隆尧县纪委的主要职责是：</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一）负责全县党的纪律检查工作。贯彻落实党中央和省委、市委、县委关于纪律检查工作的决策部署，维护党的章程和其他党内法规，检查党的路线方针政策和决议的执行情况，协助县委推进全面从严治党、加强党风廉政建设和组织协调反腐败工作。</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二）依照党的章程和其他党内法规履行监督、执纪、问责职责。负责经常对党员进行遵守纪律的教育，作出关于维护党纪的决定；对县委工作机关、县委批准设立的党组（党委），各乡镇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（三）支持配合巡视、巡察工作。承担巡视、巡察整改日常监督责任，做好巡视、巡察整改督查督办工作，依规依纪依法处置巡视、巡察移交的反映领导干部问题线索。</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四）负责全县监察工作。贯彻落实党中央和省委、市委、县委关于监察工作的决策部署，维护宪法法律，依法对县委管理的行使公权力的公职人员进行监察，调查职务违法和职务犯罪，开展廉政建设和反腐败工作。</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五）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（六）负责组织协调全面从严治党、党风廉政建设和反腐败宣传教育工作。</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（七）负责综合分析全面从严治党、党风廉政建设和反腐败工作情况，对纪检监察工作重要理论及实践问题进行调查研究；制定或者修改全县纪检监察法规制度，参与起草有关法规和规范性文件。</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（八）负责组织协调全县反腐败追逃追赃和防逃工作，督促有关单位做好相关工作。</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九）根据干部管理权限，负责全县纪检监察系统领导班子建设、干部队伍建设和组织建设的综合规划、政策研究、制度建设和业务指导；会同县委组织部负责县委巡察办的科级干部提名、考察，报县委任免；根据干部管理权限负责县委巡察办科级及以下干部人事工作。会同有关方面做好县纪委监委派出机构、乡镇纪委领导班子建设有关工作；组织和指导全县纪检监察系统干部教育培训工作等。</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（十）完成市纪委、市监委、县委交办的其他任务。</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9"/>
        <w:rPr>
          <w:rFonts w:hint="eastAsia" w:ascii="微软雅黑" w:hAnsi="微软雅黑" w:eastAsia="微软雅黑" w:cs="微软雅黑"/>
          <w:sz w:val="32"/>
          <w:szCs w:val="32"/>
          <w:u w:val="none"/>
        </w:rPr>
      </w:pP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9"/>
        <w:rPr>
          <w:rFonts w:hint="eastAsia" w:ascii="微软雅黑" w:hAnsi="微软雅黑" w:eastAsia="微软雅黑" w:cs="微软雅黑"/>
          <w:b/>
          <w:sz w:val="32"/>
          <w:szCs w:val="32"/>
          <w:u w:val="none"/>
          <w:lang w:eastAsia="zh-CN"/>
        </w:rPr>
        <w:sectPr>
          <w:footerReference r:id="rId3" w:type="default"/>
          <w:pgSz w:w="16838" w:h="11906" w:orient="landscape"/>
          <w:pgMar w:top="1134" w:right="1531" w:bottom="1134" w:left="1474" w:header="851" w:footer="992" w:gutter="0"/>
          <w:pgNumType w:start="1"/>
          <w:cols w:space="720" w:num="1"/>
          <w:docGrid w:type="lines" w:linePitch="312" w:charSpace="0"/>
        </w:sectPr>
      </w:pP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机构设置：</w:t>
      </w:r>
    </w:p>
    <w:tbl>
      <w:tblPr>
        <w:tblStyle w:val="10"/>
        <w:tblW w:w="142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7"/>
        <w:gridCol w:w="1134"/>
        <w:gridCol w:w="1276"/>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008"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222隆尧县纪委</w:t>
            </w:r>
          </w:p>
        </w:tc>
        <w:tc>
          <w:tcPr>
            <w:tcW w:w="4254"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单位名称</w:t>
            </w:r>
          </w:p>
        </w:tc>
        <w:tc>
          <w:tcPr>
            <w:tcW w:w="1134"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单位性质</w:t>
            </w:r>
          </w:p>
        </w:tc>
        <w:tc>
          <w:tcPr>
            <w:tcW w:w="1276"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单位规格</w:t>
            </w:r>
          </w:p>
        </w:tc>
        <w:tc>
          <w:tcPr>
            <w:tcW w:w="2353"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经费保障形式</w:t>
            </w:r>
          </w:p>
        </w:tc>
        <w:tc>
          <w:tcPr>
            <w:tcW w:w="709"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车辆实有数</w:t>
            </w:r>
          </w:p>
        </w:tc>
        <w:tc>
          <w:tcPr>
            <w:tcW w:w="1418"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编制人数</w:t>
            </w:r>
          </w:p>
        </w:tc>
        <w:tc>
          <w:tcPr>
            <w:tcW w:w="1418"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在职人数</w:t>
            </w:r>
          </w:p>
        </w:tc>
        <w:tc>
          <w:tcPr>
            <w:tcW w:w="2127" w:type="dxa"/>
            <w:gridSpan w:val="3"/>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1134"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1276"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2353"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709"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行政</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事业</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行政</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事业</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离休</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退休</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合    计</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2353"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val="en-US" w:eastAsia="zh-CN"/>
              </w:rPr>
              <w:t>9</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val="en-US" w:eastAsia="zh-CN"/>
              </w:rPr>
              <w:t>100</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1</w:t>
            </w:r>
            <w:r>
              <w:rPr>
                <w:rFonts w:hint="eastAsia" w:ascii="微软雅黑" w:hAnsi="微软雅黑" w:eastAsia="微软雅黑" w:cs="微软雅黑"/>
                <w:b/>
                <w:bCs/>
                <w:sz w:val="32"/>
                <w:szCs w:val="32"/>
                <w:lang w:val="en-US" w:eastAsia="zh-CN"/>
              </w:rPr>
              <w:t>3</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val="en-US" w:eastAsia="zh-CN"/>
              </w:rPr>
              <w:t>79</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9</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中国共产党隆尧县纪律检查委员会</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行政</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正科级</w:t>
            </w:r>
          </w:p>
        </w:tc>
        <w:tc>
          <w:tcPr>
            <w:tcW w:w="2353"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财政性资金基本保证</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val="en-US" w:eastAsia="zh-CN"/>
              </w:rPr>
              <w:t>9</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val="en-US" w:eastAsia="zh-CN"/>
              </w:rPr>
              <w:t>100</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1</w:t>
            </w:r>
            <w:r>
              <w:rPr>
                <w:rFonts w:hint="eastAsia" w:ascii="微软雅黑" w:hAnsi="微软雅黑" w:eastAsia="微软雅黑" w:cs="微软雅黑"/>
                <w:sz w:val="32"/>
                <w:szCs w:val="32"/>
                <w:lang w:val="en-US" w:eastAsia="zh-CN"/>
              </w:rPr>
              <w:t>3</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val="en-US" w:eastAsia="zh-CN"/>
              </w:rPr>
              <w:t>79</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9</w:t>
            </w: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709"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r>
    </w:tbl>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二、部门预算安排的总体情况</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1、收入说明</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反映本部门当年全部收入。</w:t>
      </w:r>
      <w:r>
        <w:rPr>
          <w:rFonts w:hint="eastAsia" w:ascii="微软雅黑" w:hAnsi="微软雅黑" w:eastAsia="微软雅黑" w:cs="微软雅黑"/>
          <w:sz w:val="32"/>
          <w:szCs w:val="32"/>
          <w:lang w:eastAsia="zh-CN"/>
        </w:rPr>
        <w:t>2020</w:t>
      </w:r>
      <w:r>
        <w:rPr>
          <w:rFonts w:hint="eastAsia" w:ascii="微软雅黑" w:hAnsi="微软雅黑" w:eastAsia="微软雅黑" w:cs="微软雅黑"/>
          <w:sz w:val="32"/>
          <w:szCs w:val="32"/>
        </w:rPr>
        <w:t>年预算收入</w:t>
      </w:r>
      <w:r>
        <w:rPr>
          <w:rFonts w:hint="eastAsia" w:ascii="微软雅黑" w:hAnsi="微软雅黑" w:eastAsia="微软雅黑" w:cs="微软雅黑"/>
          <w:sz w:val="32"/>
          <w:szCs w:val="32"/>
          <w:lang w:val="en-US" w:eastAsia="zh-CN"/>
        </w:rPr>
        <w:t>1141.7</w:t>
      </w:r>
      <w:r>
        <w:rPr>
          <w:rFonts w:hint="eastAsia" w:ascii="微软雅黑" w:hAnsi="微软雅黑" w:eastAsia="微软雅黑" w:cs="微软雅黑"/>
          <w:sz w:val="32"/>
          <w:szCs w:val="32"/>
        </w:rPr>
        <w:t>万元，其中：一般公共预算收入</w:t>
      </w:r>
      <w:r>
        <w:rPr>
          <w:rFonts w:hint="eastAsia" w:ascii="微软雅黑" w:hAnsi="微软雅黑" w:eastAsia="微软雅黑" w:cs="微软雅黑"/>
          <w:sz w:val="32"/>
          <w:szCs w:val="32"/>
          <w:lang w:val="en-US" w:eastAsia="zh-CN"/>
        </w:rPr>
        <w:t>1141.7</w:t>
      </w:r>
      <w:r>
        <w:rPr>
          <w:rFonts w:hint="eastAsia" w:ascii="微软雅黑" w:hAnsi="微软雅黑" w:eastAsia="微软雅黑" w:cs="微软雅黑"/>
          <w:sz w:val="32"/>
          <w:szCs w:val="32"/>
        </w:rPr>
        <w:t>万元，基金预算收入0万元，财政专户核拨收入0万元，其他来源收入0万元。</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2、支出说明</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收支预算总表支出栏、基本支出表、项目支出表按经济分类和支出功能分类科目编制，反映隆尧县纪委年度部门预算中支出预算的总体情况。</w:t>
      </w:r>
      <w:r>
        <w:rPr>
          <w:rFonts w:hint="eastAsia" w:ascii="微软雅黑" w:hAnsi="微软雅黑" w:eastAsia="微软雅黑" w:cs="微软雅黑"/>
          <w:sz w:val="32"/>
          <w:szCs w:val="32"/>
          <w:lang w:eastAsia="zh-CN"/>
        </w:rPr>
        <w:t>2020</w:t>
      </w:r>
      <w:r>
        <w:rPr>
          <w:rFonts w:hint="eastAsia" w:ascii="微软雅黑" w:hAnsi="微软雅黑" w:eastAsia="微软雅黑" w:cs="微软雅黑"/>
          <w:sz w:val="32"/>
          <w:szCs w:val="32"/>
        </w:rPr>
        <w:t>年部门支出预算为</w:t>
      </w:r>
      <w:r>
        <w:rPr>
          <w:rFonts w:hint="eastAsia" w:ascii="微软雅黑" w:hAnsi="微软雅黑" w:eastAsia="微软雅黑" w:cs="微软雅黑"/>
          <w:sz w:val="32"/>
          <w:szCs w:val="32"/>
          <w:lang w:val="en-US" w:eastAsia="zh-CN"/>
        </w:rPr>
        <w:t>1141.7</w:t>
      </w:r>
      <w:r>
        <w:rPr>
          <w:rFonts w:hint="eastAsia" w:ascii="微软雅黑" w:hAnsi="微软雅黑" w:eastAsia="微软雅黑" w:cs="微软雅黑"/>
          <w:sz w:val="32"/>
          <w:szCs w:val="32"/>
        </w:rPr>
        <w:t>万元，其中基本支出</w:t>
      </w:r>
      <w:r>
        <w:rPr>
          <w:rFonts w:hint="eastAsia" w:ascii="微软雅黑" w:hAnsi="微软雅黑" w:eastAsia="微软雅黑" w:cs="微软雅黑"/>
          <w:sz w:val="32"/>
          <w:szCs w:val="32"/>
          <w:lang w:val="en-US" w:eastAsia="zh-CN"/>
        </w:rPr>
        <w:t>756.8</w:t>
      </w:r>
      <w:r>
        <w:rPr>
          <w:rFonts w:hint="eastAsia" w:ascii="微软雅黑" w:hAnsi="微软雅黑" w:eastAsia="微软雅黑" w:cs="微软雅黑"/>
          <w:sz w:val="32"/>
          <w:szCs w:val="32"/>
        </w:rPr>
        <w:t>万元，包括人员经费</w:t>
      </w:r>
      <w:r>
        <w:rPr>
          <w:rFonts w:hint="eastAsia" w:ascii="微软雅黑" w:hAnsi="微软雅黑" w:eastAsia="微软雅黑" w:cs="微软雅黑"/>
          <w:sz w:val="32"/>
          <w:szCs w:val="32"/>
          <w:lang w:val="en-US" w:eastAsia="zh-CN"/>
        </w:rPr>
        <w:t>531.2</w:t>
      </w:r>
      <w:r>
        <w:rPr>
          <w:rFonts w:hint="eastAsia" w:ascii="微软雅黑" w:hAnsi="微软雅黑" w:eastAsia="微软雅黑" w:cs="微软雅黑"/>
          <w:sz w:val="32"/>
          <w:szCs w:val="32"/>
        </w:rPr>
        <w:t>万元和日常公用经费</w:t>
      </w:r>
      <w:r>
        <w:rPr>
          <w:rFonts w:hint="eastAsia" w:ascii="微软雅黑" w:hAnsi="微软雅黑" w:eastAsia="微软雅黑" w:cs="微软雅黑"/>
          <w:sz w:val="32"/>
          <w:szCs w:val="32"/>
          <w:lang w:val="en-US" w:eastAsia="zh-CN"/>
        </w:rPr>
        <w:t>225.5</w:t>
      </w:r>
      <w:r>
        <w:rPr>
          <w:rFonts w:hint="eastAsia" w:ascii="微软雅黑" w:hAnsi="微软雅黑" w:eastAsia="微软雅黑" w:cs="微软雅黑"/>
          <w:sz w:val="32"/>
          <w:szCs w:val="32"/>
        </w:rPr>
        <w:t>万元；项目支出</w:t>
      </w:r>
      <w:r>
        <w:rPr>
          <w:rFonts w:hint="eastAsia" w:ascii="微软雅黑" w:hAnsi="微软雅黑" w:eastAsia="微软雅黑" w:cs="微软雅黑"/>
          <w:sz w:val="32"/>
          <w:szCs w:val="32"/>
          <w:lang w:val="en-US" w:eastAsia="zh-CN"/>
        </w:rPr>
        <w:t>384.9</w:t>
      </w:r>
      <w:r>
        <w:rPr>
          <w:rFonts w:hint="eastAsia" w:ascii="微软雅黑" w:hAnsi="微软雅黑" w:eastAsia="微软雅黑" w:cs="微软雅黑"/>
          <w:sz w:val="32"/>
          <w:szCs w:val="32"/>
        </w:rPr>
        <w:t>万元，主要为乡镇纪委工作保障经费</w:t>
      </w:r>
      <w:r>
        <w:rPr>
          <w:rFonts w:hint="eastAsia" w:ascii="微软雅黑" w:hAnsi="微软雅黑" w:eastAsia="微软雅黑" w:cs="微软雅黑"/>
          <w:sz w:val="32"/>
          <w:szCs w:val="32"/>
          <w:lang w:val="en-US" w:eastAsia="zh-CN"/>
        </w:rPr>
        <w:t>24</w:t>
      </w:r>
      <w:r>
        <w:rPr>
          <w:rFonts w:hint="eastAsia" w:ascii="微软雅黑" w:hAnsi="微软雅黑" w:eastAsia="微软雅黑" w:cs="微软雅黑"/>
          <w:sz w:val="32"/>
          <w:szCs w:val="32"/>
        </w:rPr>
        <w:t>万、办案补助/执法经费</w:t>
      </w:r>
      <w:r>
        <w:rPr>
          <w:rFonts w:hint="eastAsia" w:ascii="微软雅黑" w:hAnsi="微软雅黑" w:eastAsia="微软雅黑" w:cs="微软雅黑"/>
          <w:sz w:val="32"/>
          <w:szCs w:val="32"/>
          <w:lang w:val="en-US" w:eastAsia="zh-CN"/>
        </w:rPr>
        <w:t>155</w:t>
      </w:r>
      <w:r>
        <w:rPr>
          <w:rFonts w:hint="eastAsia" w:ascii="微软雅黑" w:hAnsi="微软雅黑" w:eastAsia="微软雅黑" w:cs="微软雅黑"/>
          <w:sz w:val="32"/>
          <w:szCs w:val="32"/>
        </w:rPr>
        <w:t>万、隆尧县廉政教育展厅建设</w:t>
      </w:r>
      <w:r>
        <w:rPr>
          <w:rFonts w:hint="eastAsia" w:ascii="微软雅黑" w:hAnsi="微软雅黑" w:eastAsia="微软雅黑" w:cs="微软雅黑"/>
          <w:sz w:val="32"/>
          <w:szCs w:val="32"/>
          <w:lang w:val="en-US" w:eastAsia="zh-CN"/>
        </w:rPr>
        <w:t>73.9</w:t>
      </w:r>
      <w:r>
        <w:rPr>
          <w:rFonts w:hint="eastAsia" w:ascii="微软雅黑" w:hAnsi="微软雅黑" w:eastAsia="微软雅黑" w:cs="微软雅黑"/>
          <w:sz w:val="32"/>
          <w:szCs w:val="32"/>
        </w:rPr>
        <w:t>万、县委巡察办日常保障经费</w:t>
      </w:r>
      <w:r>
        <w:rPr>
          <w:rFonts w:hint="eastAsia" w:ascii="微软雅黑" w:hAnsi="微软雅黑" w:eastAsia="微软雅黑" w:cs="微软雅黑"/>
          <w:sz w:val="32"/>
          <w:szCs w:val="32"/>
          <w:lang w:val="en-US" w:eastAsia="zh-CN"/>
        </w:rPr>
        <w:t>55</w:t>
      </w:r>
      <w:r>
        <w:rPr>
          <w:rFonts w:hint="eastAsia" w:ascii="微软雅黑" w:hAnsi="微软雅黑" w:eastAsia="微软雅黑" w:cs="微软雅黑"/>
          <w:sz w:val="32"/>
          <w:szCs w:val="32"/>
        </w:rPr>
        <w:t>万</w:t>
      </w:r>
      <w:r>
        <w:rPr>
          <w:rFonts w:hint="eastAsia" w:ascii="微软雅黑" w:hAnsi="微软雅黑" w:eastAsia="微软雅黑" w:cs="微软雅黑"/>
          <w:sz w:val="32"/>
          <w:szCs w:val="32"/>
          <w:lang w:eastAsia="zh-CN"/>
        </w:rPr>
        <w:t>、搬迁经费</w:t>
      </w:r>
      <w:r>
        <w:rPr>
          <w:rFonts w:hint="eastAsia" w:ascii="微软雅黑" w:hAnsi="微软雅黑" w:eastAsia="微软雅黑" w:cs="微软雅黑"/>
          <w:sz w:val="32"/>
          <w:szCs w:val="32"/>
          <w:lang w:val="en-US" w:eastAsia="zh-CN"/>
        </w:rPr>
        <w:t>30万</w:t>
      </w:r>
      <w:r>
        <w:rPr>
          <w:rFonts w:hint="eastAsia" w:ascii="微软雅黑" w:hAnsi="微软雅黑" w:eastAsia="微软雅黑" w:cs="微软雅黑"/>
          <w:sz w:val="32"/>
          <w:szCs w:val="32"/>
        </w:rPr>
        <w:t>。</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3、比上年增减情况</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color w:val="000000"/>
          <w:sz w:val="32"/>
          <w:szCs w:val="32"/>
          <w:lang w:eastAsia="zh-CN"/>
        </w:rPr>
        <w:t>2020</w:t>
      </w:r>
      <w:r>
        <w:rPr>
          <w:rFonts w:hint="eastAsia" w:ascii="微软雅黑" w:hAnsi="微软雅黑" w:eastAsia="微软雅黑" w:cs="微软雅黑"/>
          <w:color w:val="000000"/>
          <w:sz w:val="32"/>
          <w:szCs w:val="32"/>
        </w:rPr>
        <w:t>年部门预算收支安排</w:t>
      </w:r>
      <w:r>
        <w:rPr>
          <w:rFonts w:hint="eastAsia" w:ascii="微软雅黑" w:hAnsi="微软雅黑" w:eastAsia="微软雅黑" w:cs="微软雅黑"/>
          <w:sz w:val="32"/>
          <w:szCs w:val="32"/>
          <w:lang w:val="en-US" w:eastAsia="zh-CN"/>
        </w:rPr>
        <w:t>1141.7</w:t>
      </w:r>
      <w:r>
        <w:rPr>
          <w:rFonts w:hint="eastAsia" w:ascii="微软雅黑" w:hAnsi="微软雅黑" w:eastAsia="微软雅黑" w:cs="微软雅黑"/>
          <w:color w:val="000000"/>
          <w:sz w:val="32"/>
          <w:szCs w:val="32"/>
        </w:rPr>
        <w:t>万元，</w:t>
      </w:r>
      <w:r>
        <w:rPr>
          <w:rFonts w:hint="eastAsia" w:ascii="微软雅黑" w:hAnsi="微软雅黑" w:eastAsia="微软雅黑" w:cs="微软雅黑"/>
          <w:sz w:val="32"/>
          <w:szCs w:val="32"/>
        </w:rPr>
        <w:t>较201</w:t>
      </w:r>
      <w:r>
        <w:rPr>
          <w:rFonts w:hint="eastAsia" w:ascii="微软雅黑" w:hAnsi="微软雅黑" w:eastAsia="微软雅黑" w:cs="微软雅黑"/>
          <w:sz w:val="32"/>
          <w:szCs w:val="32"/>
          <w:lang w:val="en-US" w:eastAsia="zh-CN"/>
        </w:rPr>
        <w:t>9</w:t>
      </w:r>
      <w:r>
        <w:rPr>
          <w:rFonts w:hint="eastAsia" w:ascii="微软雅黑" w:hAnsi="微软雅黑" w:eastAsia="微软雅黑" w:cs="微软雅黑"/>
          <w:sz w:val="32"/>
          <w:szCs w:val="32"/>
        </w:rPr>
        <w:t>年</w:t>
      </w:r>
      <w:r>
        <w:rPr>
          <w:rFonts w:hint="eastAsia" w:ascii="微软雅黑" w:hAnsi="微软雅黑" w:eastAsia="微软雅黑" w:cs="微软雅黑"/>
          <w:sz w:val="32"/>
          <w:szCs w:val="32"/>
          <w:lang w:eastAsia="zh-CN"/>
        </w:rPr>
        <w:t>减少</w:t>
      </w:r>
      <w:r>
        <w:rPr>
          <w:rFonts w:hint="eastAsia" w:ascii="微软雅黑" w:hAnsi="微软雅黑" w:eastAsia="微软雅黑" w:cs="微软雅黑"/>
          <w:sz w:val="32"/>
          <w:szCs w:val="32"/>
          <w:lang w:val="en-US" w:eastAsia="zh-CN"/>
        </w:rPr>
        <w:t>226.1</w:t>
      </w:r>
      <w:r>
        <w:rPr>
          <w:rFonts w:hint="eastAsia" w:ascii="微软雅黑" w:hAnsi="微软雅黑" w:eastAsia="微软雅黑" w:cs="微软雅黑"/>
          <w:sz w:val="32"/>
          <w:szCs w:val="32"/>
        </w:rPr>
        <w:t>万元，其中：基本支出增长14</w:t>
      </w:r>
      <w:r>
        <w:rPr>
          <w:rFonts w:hint="eastAsia" w:ascii="微软雅黑" w:hAnsi="微软雅黑" w:eastAsia="微软雅黑" w:cs="微软雅黑"/>
          <w:sz w:val="32"/>
          <w:szCs w:val="32"/>
          <w:lang w:val="en-US" w:eastAsia="zh-CN"/>
        </w:rPr>
        <w:t>7.6</w:t>
      </w:r>
      <w:r>
        <w:rPr>
          <w:rFonts w:hint="eastAsia" w:ascii="微软雅黑" w:hAnsi="微软雅黑" w:eastAsia="微软雅黑" w:cs="微软雅黑"/>
          <w:sz w:val="32"/>
          <w:szCs w:val="32"/>
        </w:rPr>
        <w:t>万元，主要是</w:t>
      </w:r>
      <w:r>
        <w:rPr>
          <w:rFonts w:hint="eastAsia" w:ascii="微软雅黑" w:hAnsi="微软雅黑" w:eastAsia="微软雅黑" w:cs="微软雅黑"/>
          <w:sz w:val="32"/>
          <w:szCs w:val="32"/>
          <w:lang w:eastAsia="zh-CN"/>
        </w:rPr>
        <w:t>人员增加，保障经费增加</w:t>
      </w:r>
      <w:r>
        <w:rPr>
          <w:rFonts w:hint="eastAsia" w:ascii="微软雅黑" w:hAnsi="微软雅黑" w:eastAsia="微软雅黑" w:cs="微软雅黑"/>
          <w:sz w:val="32"/>
          <w:szCs w:val="32"/>
        </w:rPr>
        <w:t>；项目支出</w:t>
      </w:r>
      <w:r>
        <w:rPr>
          <w:rFonts w:hint="eastAsia" w:ascii="微软雅黑" w:hAnsi="微软雅黑" w:eastAsia="微软雅黑" w:cs="微软雅黑"/>
          <w:sz w:val="32"/>
          <w:szCs w:val="32"/>
          <w:lang w:eastAsia="zh-CN"/>
        </w:rPr>
        <w:t>减少</w:t>
      </w:r>
      <w:r>
        <w:rPr>
          <w:rFonts w:hint="eastAsia" w:ascii="微软雅黑" w:hAnsi="微软雅黑" w:eastAsia="微软雅黑" w:cs="微软雅黑"/>
          <w:sz w:val="32"/>
          <w:szCs w:val="32"/>
          <w:lang w:val="en-US" w:eastAsia="zh-CN"/>
        </w:rPr>
        <w:t>373.7</w:t>
      </w:r>
      <w:r>
        <w:rPr>
          <w:rFonts w:hint="eastAsia" w:ascii="微软雅黑" w:hAnsi="微软雅黑" w:eastAsia="微软雅黑" w:cs="微软雅黑"/>
          <w:sz w:val="32"/>
          <w:szCs w:val="32"/>
        </w:rPr>
        <w:t>万元，主要</w:t>
      </w:r>
      <w:r>
        <w:rPr>
          <w:rFonts w:hint="eastAsia" w:ascii="微软雅黑" w:hAnsi="微软雅黑" w:eastAsia="微软雅黑" w:cs="微软雅黑"/>
          <w:sz w:val="32"/>
          <w:szCs w:val="32"/>
          <w:lang w:val="en-US" w:eastAsia="zh-CN"/>
        </w:rPr>
        <w:t>因为项目较去年有所减少</w:t>
      </w:r>
      <w:r>
        <w:rPr>
          <w:rFonts w:hint="eastAsia" w:ascii="微软雅黑" w:hAnsi="微软雅黑" w:eastAsia="微软雅黑" w:cs="微软雅黑"/>
          <w:sz w:val="32"/>
          <w:szCs w:val="32"/>
        </w:rPr>
        <w:t>。</w:t>
      </w:r>
    </w:p>
    <w:p>
      <w:pPr>
        <w:keepNext w:val="0"/>
        <w:keepLines w:val="0"/>
        <w:pageBreakBefore w:val="0"/>
        <w:kinsoku/>
        <w:wordWrap/>
        <w:overflowPunct/>
        <w:topLinePunct w:val="0"/>
        <w:autoSpaceDE w:val="0"/>
        <w:autoSpaceDN w:val="0"/>
        <w:bidi w:val="0"/>
        <w:adjustRightInd w:val="0"/>
        <w:snapToGrid/>
        <w:spacing w:after="313" w:afterLines="100" w:line="480" w:lineRule="auto"/>
        <w:ind w:firstLine="960" w:firstLineChars="3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三、机关运行经费安排情况</w:t>
      </w:r>
    </w:p>
    <w:p>
      <w:pPr>
        <w:keepNext w:val="0"/>
        <w:keepLines w:val="0"/>
        <w:pageBreakBefore w:val="0"/>
        <w:kinsoku/>
        <w:wordWrap/>
        <w:overflowPunct/>
        <w:topLinePunct w:val="0"/>
        <w:autoSpaceDE w:val="0"/>
        <w:autoSpaceDN w:val="0"/>
        <w:bidi w:val="0"/>
        <w:adjustRightInd w:val="0"/>
        <w:snapToGrid/>
        <w:spacing w:after="313" w:afterLines="100" w:line="480" w:lineRule="auto"/>
        <w:ind w:left="198"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eastAsia="zh-CN"/>
        </w:rPr>
        <w:t>2020</w:t>
      </w:r>
      <w:r>
        <w:rPr>
          <w:rFonts w:hint="eastAsia" w:ascii="微软雅黑" w:hAnsi="微软雅黑" w:eastAsia="微软雅黑" w:cs="微软雅黑"/>
          <w:sz w:val="32"/>
          <w:szCs w:val="32"/>
        </w:rPr>
        <w:t>年，我部门机关运行经费共计安排</w:t>
      </w:r>
      <w:r>
        <w:rPr>
          <w:rFonts w:hint="eastAsia" w:ascii="微软雅黑" w:hAnsi="微软雅黑" w:eastAsia="微软雅黑" w:cs="微软雅黑"/>
          <w:sz w:val="32"/>
          <w:szCs w:val="32"/>
          <w:lang w:val="en-US" w:eastAsia="zh-CN"/>
        </w:rPr>
        <w:t>193.6</w:t>
      </w:r>
      <w:r>
        <w:rPr>
          <w:rFonts w:hint="eastAsia" w:ascii="微软雅黑" w:hAnsi="微软雅黑" w:eastAsia="微软雅黑" w:cs="微软雅黑"/>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pPr>
        <w:keepNext w:val="0"/>
        <w:keepLines w:val="0"/>
        <w:pageBreakBefore w:val="0"/>
        <w:kinsoku/>
        <w:wordWrap/>
        <w:overflowPunct/>
        <w:topLinePunct w:val="0"/>
        <w:autoSpaceDE w:val="0"/>
        <w:autoSpaceDN w:val="0"/>
        <w:bidi w:val="0"/>
        <w:adjustRightInd w:val="0"/>
        <w:snapToGrid/>
        <w:spacing w:after="313" w:afterLines="100" w:line="480" w:lineRule="auto"/>
        <w:ind w:left="198"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四、财政拨款“三公”经费预算情况及增减变化原因</w:t>
      </w:r>
    </w:p>
    <w:p>
      <w:pPr>
        <w:keepNext w:val="0"/>
        <w:keepLines w:val="0"/>
        <w:pageBreakBefore w:val="0"/>
        <w:kinsoku/>
        <w:wordWrap/>
        <w:overflowPunct/>
        <w:topLinePunct w:val="0"/>
        <w:autoSpaceDE w:val="0"/>
        <w:autoSpaceDN w:val="0"/>
        <w:bidi w:val="0"/>
        <w:adjustRightInd w:val="0"/>
        <w:snapToGrid/>
        <w:spacing w:after="313" w:afterLines="100" w:line="480" w:lineRule="auto"/>
        <w:ind w:left="198"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eastAsia="zh-CN"/>
        </w:rPr>
        <w:t>2020</w:t>
      </w:r>
      <w:r>
        <w:rPr>
          <w:rFonts w:hint="eastAsia" w:ascii="微软雅黑" w:hAnsi="微软雅黑" w:eastAsia="微软雅黑" w:cs="微软雅黑"/>
          <w:sz w:val="32"/>
          <w:szCs w:val="32"/>
        </w:rPr>
        <w:t>年，我部门财政拨款“三公”经费预算安排</w:t>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sz w:val="32"/>
          <w:szCs w:val="32"/>
        </w:rPr>
        <w:t>万元，其中：因公出国（境）费0万元；公务用车购置及运维费0万元（其中：公务用车购置费0万元，公务用车运行维护费0万元)；公务接待费</w:t>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sz w:val="32"/>
          <w:szCs w:val="32"/>
        </w:rPr>
        <w:t>万元。“三公”经费</w:t>
      </w:r>
      <w:r>
        <w:rPr>
          <w:rFonts w:hint="eastAsia" w:ascii="微软雅黑" w:hAnsi="微软雅黑" w:eastAsia="微软雅黑" w:cs="微软雅黑"/>
          <w:sz w:val="32"/>
          <w:szCs w:val="32"/>
          <w:lang w:eastAsia="zh-CN"/>
        </w:rPr>
        <w:t>比</w:t>
      </w:r>
      <w:r>
        <w:rPr>
          <w:rFonts w:hint="eastAsia" w:ascii="微软雅黑" w:hAnsi="微软雅黑" w:eastAsia="微软雅黑" w:cs="微软雅黑"/>
          <w:sz w:val="32"/>
          <w:szCs w:val="32"/>
        </w:rPr>
        <w:t>上年</w:t>
      </w:r>
      <w:r>
        <w:rPr>
          <w:rFonts w:hint="eastAsia" w:ascii="微软雅黑" w:hAnsi="微软雅黑" w:eastAsia="微软雅黑" w:cs="微软雅黑"/>
          <w:sz w:val="32"/>
          <w:szCs w:val="32"/>
          <w:lang w:eastAsia="zh-CN"/>
        </w:rPr>
        <w:t>减少</w:t>
      </w:r>
      <w:r>
        <w:rPr>
          <w:rFonts w:hint="eastAsia" w:ascii="微软雅黑" w:hAnsi="微软雅黑" w:eastAsia="微软雅黑" w:cs="微软雅黑"/>
          <w:sz w:val="32"/>
          <w:szCs w:val="32"/>
        </w:rPr>
        <w:t>。</w:t>
      </w:r>
    </w:p>
    <w:p>
      <w:pPr>
        <w:keepNext w:val="0"/>
        <w:keepLines w:val="0"/>
        <w:pageBreakBefore w:val="0"/>
        <w:kinsoku/>
        <w:wordWrap/>
        <w:overflowPunct/>
        <w:topLinePunct w:val="0"/>
        <w:autoSpaceDE w:val="0"/>
        <w:autoSpaceDN w:val="0"/>
        <w:bidi w:val="0"/>
        <w:adjustRightInd w:val="0"/>
        <w:snapToGrid/>
        <w:spacing w:after="313" w:afterLines="100" w:line="480" w:lineRule="auto"/>
        <w:ind w:left="198"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五、绩效预算信息</w:t>
      </w:r>
      <w:bookmarkStart w:id="0" w:name="_Toc471398463"/>
    </w:p>
    <w:p>
      <w:pPr>
        <w:keepNext w:val="0"/>
        <w:keepLines w:val="0"/>
        <w:pageBreakBefore w:val="0"/>
        <w:kinsoku/>
        <w:wordWrap/>
        <w:overflowPunct/>
        <w:topLinePunct w:val="0"/>
        <w:autoSpaceDE w:val="0"/>
        <w:autoSpaceDN w:val="0"/>
        <w:bidi w:val="0"/>
        <w:adjustRightInd w:val="0"/>
        <w:snapToGrid/>
        <w:spacing w:after="313" w:afterLines="100" w:line="480" w:lineRule="auto"/>
        <w:ind w:left="198" w:firstLine="640" w:firstLineChars="200"/>
        <w:jc w:val="both"/>
        <w:textAlignment w:val="auto"/>
        <w:rPr>
          <w:rFonts w:hint="eastAsia" w:ascii="微软雅黑" w:hAnsi="微软雅黑" w:eastAsia="微软雅黑" w:cs="微软雅黑"/>
          <w:b/>
          <w:sz w:val="32"/>
          <w:szCs w:val="32"/>
          <w:u w:val="none"/>
          <w:lang w:eastAsia="zh-CN"/>
        </w:rPr>
      </w:pPr>
      <w:r>
        <w:rPr>
          <w:rFonts w:hint="eastAsia" w:ascii="微软雅黑" w:hAnsi="微软雅黑" w:eastAsia="微软雅黑" w:cs="微软雅黑"/>
          <w:b/>
          <w:bCs/>
          <w:sz w:val="32"/>
          <w:szCs w:val="32"/>
        </w:rPr>
        <w:t>部门职责及工作活动绩效目标指标：</w:t>
      </w:r>
      <w:bookmarkEnd w:id="0"/>
      <w:bookmarkStart w:id="1" w:name="_Toc11515"/>
      <w:r>
        <w:rPr>
          <w:rFonts w:hint="eastAsia" w:ascii="微软雅黑" w:hAnsi="微软雅黑" w:eastAsia="微软雅黑" w:cs="微软雅黑"/>
          <w:sz w:val="32"/>
          <w:szCs w:val="32"/>
        </w:rPr>
        <w:fldChar w:fldCharType="begin"/>
      </w:r>
      <w:r>
        <w:rPr>
          <w:rFonts w:hint="eastAsia" w:ascii="微软雅黑" w:hAnsi="微软雅黑" w:eastAsia="微软雅黑" w:cs="微软雅黑"/>
          <w:b/>
          <w:sz w:val="32"/>
          <w:szCs w:val="32"/>
          <w:u w:val="none"/>
          <w:lang w:eastAsia="zh-CN"/>
        </w:rPr>
        <w:instrText xml:space="preserve"> TC 1、搬迁经费绩效目标表 \f C \l 1 </w:instrText>
      </w:r>
      <w:r>
        <w:rPr>
          <w:rFonts w:hint="eastAsia" w:ascii="微软雅黑" w:hAnsi="微软雅黑" w:eastAsia="微软雅黑" w:cs="微软雅黑"/>
          <w:b/>
          <w:sz w:val="32"/>
          <w:szCs w:val="32"/>
          <w:u w:val="none"/>
          <w:lang w:eastAsia="zh-CN"/>
        </w:rPr>
        <w:fldChar w:fldCharType="end"/>
      </w:r>
      <w:bookmarkEnd w:id="1"/>
    </w:p>
    <w:tbl>
      <w:tblPr>
        <w:tblStyle w:val="11"/>
        <w:tblW w:w="109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32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222002中国共产党隆尧县纪律检查委员会</w:t>
            </w:r>
          </w:p>
        </w:tc>
        <w:tc>
          <w:tcPr>
            <w:tcW w:w="3250" w:type="dxa"/>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项目编码</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222-0401-YXN-UIGH</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项目名称</w:t>
            </w:r>
          </w:p>
        </w:tc>
        <w:tc>
          <w:tcPr>
            <w:tcW w:w="5830" w:type="dxa"/>
            <w:gridSpan w:val="3"/>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搬迁经费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预算规模及资金用途</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300000.00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其中：财政资金</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300000.00</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其他资金</w:t>
            </w:r>
          </w:p>
        </w:tc>
        <w:tc>
          <w:tcPr>
            <w:tcW w:w="3250"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9828" w:type="dxa"/>
            <w:gridSpan w:val="6"/>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新办公楼维修及维护。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资金支出计划（%）</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3月底</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6月底</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10月底</w:t>
            </w:r>
          </w:p>
        </w:tc>
        <w:tc>
          <w:tcPr>
            <w:tcW w:w="4526"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100.00</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c>
          <w:tcPr>
            <w:tcW w:w="4526"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绩效目标</w:t>
            </w:r>
          </w:p>
        </w:tc>
        <w:tc>
          <w:tcPr>
            <w:tcW w:w="9828" w:type="dxa"/>
            <w:gridSpan w:val="6"/>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1、按标准装修办公楼</w:t>
            </w:r>
          </w:p>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2、按计划完成搬迁</w:t>
            </w:r>
          </w:p>
        </w:tc>
      </w:tr>
    </w:tbl>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9"/>
        <w:rPr>
          <w:rFonts w:hint="eastAsia" w:ascii="微软雅黑" w:hAnsi="微软雅黑" w:eastAsia="微软雅黑" w:cs="微软雅黑"/>
          <w:b/>
          <w:sz w:val="32"/>
          <w:szCs w:val="32"/>
          <w:u w:val="none"/>
          <w:lang w:eastAsia="zh-CN"/>
        </w:rPr>
      </w:pPr>
      <w:r>
        <w:rPr>
          <w:rFonts w:hint="eastAsia" w:ascii="微软雅黑" w:hAnsi="微软雅黑" w:eastAsia="微软雅黑" w:cs="微软雅黑"/>
          <w:b/>
          <w:sz w:val="32"/>
          <w:szCs w:val="32"/>
          <w:u w:val="none"/>
          <w:lang w:eastAsia="zh-CN"/>
        </w:rPr>
        <w:t xml:space="preserve"> </w:t>
      </w:r>
    </w:p>
    <w:tbl>
      <w:tblPr>
        <w:tblStyle w:val="11"/>
        <w:tblW w:w="1094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3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一级指标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二级指标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三级指标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绩效指标描述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w:t>
            </w:r>
          </w:p>
        </w:tc>
        <w:tc>
          <w:tcPr>
            <w:tcW w:w="3235"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产出指标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时效指标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完成率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6月底前完成率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100百分比</w:t>
            </w:r>
          </w:p>
        </w:tc>
        <w:tc>
          <w:tcPr>
            <w:tcW w:w="3235"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效果指标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经济效益指标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7月底前完成搬迁</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搬迁量占比</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≥100百分比</w:t>
            </w:r>
          </w:p>
        </w:tc>
        <w:tc>
          <w:tcPr>
            <w:tcW w:w="3235"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满意度指标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服务对象满意度指标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职工满意度</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职工满意比率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≥95百分比</w:t>
            </w:r>
          </w:p>
        </w:tc>
        <w:tc>
          <w:tcPr>
            <w:tcW w:w="3235"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调查</w:t>
            </w:r>
          </w:p>
        </w:tc>
      </w:tr>
    </w:tbl>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lang w:eastAsia="zh-CN"/>
        </w:rPr>
      </w:pPr>
      <w:bookmarkStart w:id="2" w:name="_Toc16991"/>
      <w:r>
        <w:rPr>
          <w:rFonts w:hint="eastAsia" w:ascii="微软雅黑" w:hAnsi="微软雅黑" w:eastAsia="微软雅黑" w:cs="微软雅黑"/>
          <w:sz w:val="32"/>
          <w:szCs w:val="32"/>
        </w:rPr>
        <w:fldChar w:fldCharType="begin"/>
      </w:r>
      <w:r>
        <w:rPr>
          <w:rFonts w:hint="eastAsia" w:ascii="微软雅黑" w:hAnsi="微软雅黑" w:eastAsia="微软雅黑" w:cs="微软雅黑"/>
          <w:b/>
          <w:sz w:val="32"/>
          <w:szCs w:val="32"/>
          <w:u w:val="none"/>
          <w:lang w:eastAsia="zh-CN"/>
        </w:rPr>
        <w:instrText xml:space="preserve"> TC 2、隆尧县监察大数据平台建设项目绩效目标表 \f C \l 1 </w:instrText>
      </w:r>
      <w:r>
        <w:rPr>
          <w:rFonts w:hint="eastAsia" w:ascii="微软雅黑" w:hAnsi="微软雅黑" w:eastAsia="微软雅黑" w:cs="微软雅黑"/>
          <w:b/>
          <w:sz w:val="32"/>
          <w:szCs w:val="32"/>
          <w:u w:val="none"/>
          <w:lang w:eastAsia="zh-CN"/>
        </w:rPr>
        <w:fldChar w:fldCharType="end"/>
      </w:r>
      <w:bookmarkEnd w:id="2"/>
    </w:p>
    <w:tbl>
      <w:tblPr>
        <w:tblStyle w:val="11"/>
        <w:tblW w:w="1121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35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222002中国共产党隆尧县纪律检查委员会</w:t>
            </w:r>
          </w:p>
        </w:tc>
        <w:tc>
          <w:tcPr>
            <w:tcW w:w="3505" w:type="dxa"/>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项目编码</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222-0602-YXN-9RND</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项目名称</w:t>
            </w:r>
          </w:p>
        </w:tc>
        <w:tc>
          <w:tcPr>
            <w:tcW w:w="6085" w:type="dxa"/>
            <w:gridSpan w:val="3"/>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隆尧县监察大数据平台建设项目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预算规模及资金用途</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470000.00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其中：财政资金</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470000.00</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其他资金</w:t>
            </w:r>
          </w:p>
        </w:tc>
        <w:tc>
          <w:tcPr>
            <w:tcW w:w="3505"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10083" w:type="dxa"/>
            <w:gridSpan w:val="6"/>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将大数据与党风廉政建设和反腐败工作有机融合，进一步提升监督实效。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资金支出计划（%）</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3月底</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6月底</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10月底</w:t>
            </w:r>
          </w:p>
        </w:tc>
        <w:tc>
          <w:tcPr>
            <w:tcW w:w="4781"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50.00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100.00</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c>
          <w:tcPr>
            <w:tcW w:w="4781"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绩效目标</w:t>
            </w:r>
          </w:p>
        </w:tc>
        <w:tc>
          <w:tcPr>
            <w:tcW w:w="10083" w:type="dxa"/>
            <w:gridSpan w:val="6"/>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1、6月底之前完成</w:t>
            </w:r>
          </w:p>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2、年底利用率达到60%</w:t>
            </w:r>
          </w:p>
        </w:tc>
      </w:tr>
    </w:tbl>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9"/>
        <w:rPr>
          <w:rFonts w:hint="eastAsia" w:ascii="微软雅黑" w:hAnsi="微软雅黑" w:eastAsia="微软雅黑" w:cs="微软雅黑"/>
          <w:b/>
          <w:sz w:val="32"/>
          <w:szCs w:val="32"/>
          <w:u w:val="none"/>
          <w:lang w:eastAsia="zh-CN"/>
        </w:rPr>
      </w:pPr>
      <w:r>
        <w:rPr>
          <w:rFonts w:hint="eastAsia" w:ascii="微软雅黑" w:hAnsi="微软雅黑" w:eastAsia="微软雅黑" w:cs="微软雅黑"/>
          <w:b/>
          <w:sz w:val="32"/>
          <w:szCs w:val="32"/>
          <w:u w:val="none"/>
          <w:lang w:eastAsia="zh-CN"/>
        </w:rPr>
        <w:t xml:space="preserve"> </w:t>
      </w:r>
    </w:p>
    <w:tbl>
      <w:tblPr>
        <w:tblStyle w:val="11"/>
        <w:tblW w:w="112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3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一级指标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二级指标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三级指标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绩效指标描述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w:t>
            </w:r>
          </w:p>
        </w:tc>
        <w:tc>
          <w:tcPr>
            <w:tcW w:w="350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产出指标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时效指标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完成率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按照要求和计划完成研究任务的项目在所有立项项目中的比例（百分比）</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≥90比率</w:t>
            </w:r>
          </w:p>
        </w:tc>
        <w:tc>
          <w:tcPr>
            <w:tcW w:w="350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效果指标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经济效益指标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大数据平台利用率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大数据平台在监督检查中利用率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≥60比率</w:t>
            </w:r>
          </w:p>
        </w:tc>
        <w:tc>
          <w:tcPr>
            <w:tcW w:w="350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查看记录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满意度指标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服务对象满意度指标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工作人员的满意度</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工作人员对大数据平台应用的满意度</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≥90比率</w:t>
            </w:r>
          </w:p>
        </w:tc>
        <w:tc>
          <w:tcPr>
            <w:tcW w:w="350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调查</w:t>
            </w:r>
          </w:p>
        </w:tc>
      </w:tr>
    </w:tbl>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sz w:val="32"/>
          <w:szCs w:val="32"/>
        </w:rPr>
      </w:pPr>
      <w:bookmarkStart w:id="3" w:name="_Toc11928"/>
      <w:bookmarkStart w:id="8" w:name="_GoBack"/>
      <w:bookmarkEnd w:id="8"/>
    </w:p>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sz w:val="32"/>
          <w:szCs w:val="32"/>
        </w:rPr>
      </w:pPr>
    </w:p>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sz w:val="32"/>
          <w:szCs w:val="32"/>
        </w:rPr>
      </w:pPr>
    </w:p>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sz w:val="32"/>
          <w:szCs w:val="32"/>
        </w:rPr>
      </w:pPr>
    </w:p>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lang w:eastAsia="zh-CN"/>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b/>
          <w:sz w:val="32"/>
          <w:szCs w:val="32"/>
          <w:u w:val="none"/>
          <w:lang w:eastAsia="zh-CN"/>
        </w:rPr>
        <w:instrText xml:space="preserve"> TC 3、隆尧县廉政教育展厅建设绩效目标表 \f C \l 1 </w:instrText>
      </w:r>
      <w:r>
        <w:rPr>
          <w:rFonts w:hint="eastAsia" w:ascii="微软雅黑" w:hAnsi="微软雅黑" w:eastAsia="微软雅黑" w:cs="微软雅黑"/>
          <w:b/>
          <w:sz w:val="32"/>
          <w:szCs w:val="32"/>
          <w:u w:val="none"/>
          <w:lang w:eastAsia="zh-CN"/>
        </w:rPr>
        <w:fldChar w:fldCharType="end"/>
      </w:r>
      <w:bookmarkEnd w:id="3"/>
    </w:p>
    <w:tbl>
      <w:tblPr>
        <w:tblStyle w:val="11"/>
        <w:tblW w:w="11009" w:type="dxa"/>
        <w:jc w:val="center"/>
        <w:tblInd w:w="-11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8"/>
        <w:gridCol w:w="1134"/>
        <w:gridCol w:w="1276"/>
        <w:gridCol w:w="1588"/>
        <w:gridCol w:w="1304"/>
        <w:gridCol w:w="1276"/>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856"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222002中国共产党隆尧县纪律检查委员会</w:t>
            </w:r>
          </w:p>
        </w:tc>
        <w:tc>
          <w:tcPr>
            <w:tcW w:w="2153" w:type="dxa"/>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27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项目编码</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222-0501-YXN-PZ6V</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项目名称</w:t>
            </w:r>
          </w:p>
        </w:tc>
        <w:tc>
          <w:tcPr>
            <w:tcW w:w="4733" w:type="dxa"/>
            <w:gridSpan w:val="3"/>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隆尧县廉政教育展厅建设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278"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预算规模及资金用途</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739667.00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其中：财政资金</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739667.00</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其他资金</w:t>
            </w:r>
          </w:p>
        </w:tc>
        <w:tc>
          <w:tcPr>
            <w:tcW w:w="2153"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278"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8731" w:type="dxa"/>
            <w:gridSpan w:val="6"/>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利用廉政教育广场，教育引导广大党员干部增强廉洁自律意识。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278"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资金支出计划（%）</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3月底</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6月底</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10月底</w:t>
            </w:r>
          </w:p>
        </w:tc>
        <w:tc>
          <w:tcPr>
            <w:tcW w:w="3429"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278"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80.00</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100.00</w:t>
            </w:r>
          </w:p>
        </w:tc>
        <w:tc>
          <w:tcPr>
            <w:tcW w:w="3429"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278" w:type="dxa"/>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绩效目标</w:t>
            </w:r>
          </w:p>
        </w:tc>
        <w:tc>
          <w:tcPr>
            <w:tcW w:w="8731" w:type="dxa"/>
            <w:gridSpan w:val="6"/>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1、按标准建好廉政教育展厅</w:t>
            </w:r>
          </w:p>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2、开展廉政教育不低于5次</w:t>
            </w:r>
          </w:p>
        </w:tc>
      </w:tr>
    </w:tbl>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9"/>
        <w:rPr>
          <w:rFonts w:hint="eastAsia" w:ascii="微软雅黑" w:hAnsi="微软雅黑" w:eastAsia="微软雅黑" w:cs="微软雅黑"/>
          <w:b/>
          <w:sz w:val="32"/>
          <w:szCs w:val="32"/>
          <w:u w:val="none"/>
          <w:lang w:eastAsia="zh-CN"/>
        </w:rPr>
      </w:pPr>
      <w:r>
        <w:rPr>
          <w:rFonts w:hint="eastAsia" w:ascii="微软雅黑" w:hAnsi="微软雅黑" w:eastAsia="微软雅黑" w:cs="微软雅黑"/>
          <w:b/>
          <w:sz w:val="32"/>
          <w:szCs w:val="32"/>
          <w:u w:val="none"/>
          <w:lang w:eastAsia="zh-CN"/>
        </w:rPr>
        <w:t xml:space="preserve"> </w:t>
      </w:r>
    </w:p>
    <w:tbl>
      <w:tblPr>
        <w:tblStyle w:val="11"/>
        <w:tblW w:w="11005" w:type="dxa"/>
        <w:jc w:val="center"/>
        <w:tblInd w:w="-15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26"/>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72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一级指标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二级指标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三级指标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绩效指标描述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2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产出指标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时效指标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完成率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10月底之前完成率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2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效果指标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社会效益指标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受教育党员干部批次</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不低于5批次</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≥5次</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查看记录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2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满意度指标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服务对象满意度指标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党员干部满意度</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受教育党员对廉政教育的满意度</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走访调查</w:t>
            </w:r>
          </w:p>
        </w:tc>
      </w:tr>
    </w:tbl>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lang w:eastAsia="zh-CN"/>
        </w:rPr>
      </w:pPr>
      <w:bookmarkStart w:id="4" w:name="_Toc1135"/>
      <w:r>
        <w:rPr>
          <w:rFonts w:hint="eastAsia" w:ascii="微软雅黑" w:hAnsi="微软雅黑" w:eastAsia="微软雅黑" w:cs="微软雅黑"/>
          <w:sz w:val="32"/>
          <w:szCs w:val="32"/>
        </w:rPr>
        <w:fldChar w:fldCharType="begin"/>
      </w:r>
      <w:r>
        <w:rPr>
          <w:rFonts w:hint="eastAsia" w:ascii="微软雅黑" w:hAnsi="微软雅黑" w:eastAsia="微软雅黑" w:cs="微软雅黑"/>
          <w:b/>
          <w:sz w:val="32"/>
          <w:szCs w:val="32"/>
          <w:u w:val="none"/>
          <w:lang w:eastAsia="zh-CN"/>
        </w:rPr>
        <w:instrText xml:space="preserve"> TC 4、县委巡察办经费绩效目标表 \f C \l 1 </w:instrText>
      </w:r>
      <w:r>
        <w:rPr>
          <w:rFonts w:hint="eastAsia" w:ascii="微软雅黑" w:hAnsi="微软雅黑" w:eastAsia="微软雅黑" w:cs="微软雅黑"/>
          <w:b/>
          <w:sz w:val="32"/>
          <w:szCs w:val="32"/>
          <w:u w:val="none"/>
          <w:lang w:eastAsia="zh-CN"/>
        </w:rPr>
        <w:fldChar w:fldCharType="end"/>
      </w:r>
      <w:bookmarkEnd w:id="4"/>
    </w:p>
    <w:tbl>
      <w:tblPr>
        <w:tblStyle w:val="11"/>
        <w:tblW w:w="10931" w:type="dxa"/>
        <w:jc w:val="center"/>
        <w:tblInd w:w="-15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2"/>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9230"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222002中国共产党隆尧县纪律检查委员会</w:t>
            </w:r>
          </w:p>
        </w:tc>
        <w:tc>
          <w:tcPr>
            <w:tcW w:w="1701" w:type="dxa"/>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项目编码</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222-0602-JXN-LDHL</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项目名称</w:t>
            </w:r>
          </w:p>
        </w:tc>
        <w:tc>
          <w:tcPr>
            <w:tcW w:w="4281" w:type="dxa"/>
            <w:gridSpan w:val="3"/>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县委巡察办经费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2"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预算规模及资金用途</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550000.00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其中：财政资金</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550000.00</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其他资金</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2"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8279" w:type="dxa"/>
            <w:gridSpan w:val="6"/>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按照《隆尧县十一届县委巡察工作五年规划》的要求，实现巡察全覆盖，让巡察利剑高悬，震慑常在。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2"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资金支出计划（%）</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3月底</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6月底</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10月底</w:t>
            </w:r>
          </w:p>
        </w:tc>
        <w:tc>
          <w:tcPr>
            <w:tcW w:w="2977"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2"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60.00</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80.00</w:t>
            </w:r>
          </w:p>
        </w:tc>
        <w:tc>
          <w:tcPr>
            <w:tcW w:w="2977"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2" w:type="dxa"/>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绩效目标</w:t>
            </w:r>
          </w:p>
        </w:tc>
        <w:tc>
          <w:tcPr>
            <w:tcW w:w="8279" w:type="dxa"/>
            <w:gridSpan w:val="6"/>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1、实现县本级巡察既定目标</w:t>
            </w:r>
          </w:p>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2、市委统筹巡察3轮</w:t>
            </w:r>
          </w:p>
        </w:tc>
      </w:tr>
    </w:tbl>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9"/>
        <w:rPr>
          <w:rFonts w:hint="eastAsia" w:ascii="微软雅黑" w:hAnsi="微软雅黑" w:eastAsia="微软雅黑" w:cs="微软雅黑"/>
          <w:b/>
          <w:sz w:val="32"/>
          <w:szCs w:val="32"/>
          <w:u w:val="none"/>
          <w:lang w:eastAsia="zh-CN"/>
        </w:rPr>
      </w:pPr>
      <w:r>
        <w:rPr>
          <w:rFonts w:hint="eastAsia" w:ascii="微软雅黑" w:hAnsi="微软雅黑" w:eastAsia="微软雅黑" w:cs="微软雅黑"/>
          <w:b/>
          <w:sz w:val="32"/>
          <w:szCs w:val="32"/>
          <w:u w:val="none"/>
          <w:lang w:eastAsia="zh-CN"/>
        </w:rPr>
        <w:t xml:space="preserve"> </w:t>
      </w:r>
    </w:p>
    <w:tbl>
      <w:tblPr>
        <w:tblStyle w:val="11"/>
        <w:tblW w:w="10925" w:type="dxa"/>
        <w:jc w:val="center"/>
        <w:tblInd w:w="-15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6"/>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64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一级指标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二级指标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三级指标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绩效指标描述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64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产出指标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数量指标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市委统筹巡察保障数量</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最少开展3次</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≥3次</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查看记录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64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效果指标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社会效益指标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县委巡察办完成本年度巡察 计划</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开展村级巡察</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≥100个</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查看记录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64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满意度指标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服务对象满意度指标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对群众反映问题的反馈</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对群众反映问题的反馈要保证多数群众的满意</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走访调查</w:t>
            </w:r>
          </w:p>
        </w:tc>
      </w:tr>
    </w:tbl>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lang w:eastAsia="zh-CN"/>
        </w:rPr>
      </w:pPr>
      <w:bookmarkStart w:id="5" w:name="_Toc5200"/>
      <w:r>
        <w:rPr>
          <w:rFonts w:hint="eastAsia" w:ascii="微软雅黑" w:hAnsi="微软雅黑" w:eastAsia="微软雅黑" w:cs="微软雅黑"/>
          <w:sz w:val="32"/>
          <w:szCs w:val="32"/>
        </w:rPr>
        <w:fldChar w:fldCharType="begin"/>
      </w:r>
      <w:r>
        <w:rPr>
          <w:rFonts w:hint="eastAsia" w:ascii="微软雅黑" w:hAnsi="微软雅黑" w:eastAsia="微软雅黑" w:cs="微软雅黑"/>
          <w:b/>
          <w:sz w:val="32"/>
          <w:szCs w:val="32"/>
          <w:u w:val="none"/>
          <w:lang w:eastAsia="zh-CN"/>
        </w:rPr>
        <w:instrText xml:space="preserve"> TC 5、乡镇纪委保障经费绩效目标表 \f C \l 1 </w:instrText>
      </w:r>
      <w:r>
        <w:rPr>
          <w:rFonts w:hint="eastAsia" w:ascii="微软雅黑" w:hAnsi="微软雅黑" w:eastAsia="微软雅黑" w:cs="微软雅黑"/>
          <w:b/>
          <w:sz w:val="32"/>
          <w:szCs w:val="32"/>
          <w:u w:val="none"/>
          <w:lang w:eastAsia="zh-CN"/>
        </w:rPr>
        <w:fldChar w:fldCharType="end"/>
      </w:r>
      <w:bookmarkEnd w:id="5"/>
    </w:p>
    <w:tbl>
      <w:tblPr>
        <w:tblStyle w:val="11"/>
        <w:tblW w:w="10858" w:type="dxa"/>
        <w:jc w:val="center"/>
        <w:tblInd w:w="-14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9"/>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9157"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222002中国共产党隆尧县纪律检查委员会</w:t>
            </w:r>
          </w:p>
        </w:tc>
        <w:tc>
          <w:tcPr>
            <w:tcW w:w="1701" w:type="dxa"/>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79"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项目编码</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222-0401-JXN-T6LA</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项目名称</w:t>
            </w:r>
          </w:p>
        </w:tc>
        <w:tc>
          <w:tcPr>
            <w:tcW w:w="4281" w:type="dxa"/>
            <w:gridSpan w:val="3"/>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乡镇纪委保障经费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79"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预算规模及资金用途</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240000.00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其中：财政资金</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240000.00</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其他资金</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79"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8279" w:type="dxa"/>
            <w:gridSpan w:val="6"/>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加强乡镇纪检组织建设，切实推动全面从严治党向基层延伸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79"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资金支出计划（%）</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3月底</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6月底</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10月底</w:t>
            </w:r>
          </w:p>
        </w:tc>
        <w:tc>
          <w:tcPr>
            <w:tcW w:w="2977"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79"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60.00</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80.00</w:t>
            </w:r>
          </w:p>
        </w:tc>
        <w:tc>
          <w:tcPr>
            <w:tcW w:w="2977"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79" w:type="dxa"/>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绩效目标</w:t>
            </w:r>
          </w:p>
        </w:tc>
        <w:tc>
          <w:tcPr>
            <w:tcW w:w="8279" w:type="dxa"/>
            <w:gridSpan w:val="6"/>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1、确保农村两委干部廉洁履职</w:t>
            </w:r>
          </w:p>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2、老百姓对乡镇及村两委干部认可度提高</w:t>
            </w:r>
          </w:p>
        </w:tc>
      </w:tr>
    </w:tbl>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9"/>
        <w:rPr>
          <w:rFonts w:hint="eastAsia" w:ascii="微软雅黑" w:hAnsi="微软雅黑" w:eastAsia="微软雅黑" w:cs="微软雅黑"/>
          <w:b/>
          <w:sz w:val="32"/>
          <w:szCs w:val="32"/>
          <w:u w:val="none"/>
          <w:lang w:eastAsia="zh-CN"/>
        </w:rPr>
      </w:pPr>
      <w:r>
        <w:rPr>
          <w:rFonts w:hint="eastAsia" w:ascii="微软雅黑" w:hAnsi="微软雅黑" w:eastAsia="微软雅黑" w:cs="微软雅黑"/>
          <w:b/>
          <w:sz w:val="32"/>
          <w:szCs w:val="32"/>
          <w:u w:val="none"/>
          <w:lang w:eastAsia="zh-CN"/>
        </w:rPr>
        <w:t xml:space="preserve"> </w:t>
      </w:r>
    </w:p>
    <w:tbl>
      <w:tblPr>
        <w:tblStyle w:val="11"/>
        <w:tblW w:w="10847" w:type="dxa"/>
        <w:jc w:val="center"/>
        <w:tblInd w:w="-14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8"/>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56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一级指标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二级指标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三级指标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绩效指标描述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56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产出指标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质量指标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优良率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查办案件质量优良率占所有案件的比率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监督执纪规则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56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效果指标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社会效益指标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群众对乡镇干部的满意度</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走访群众对乡镇干部的满意度</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56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满意度指标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服务对象满意度指标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服务对象满意度</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反映问题群众对乡镇纪委答复的满意度</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走访调查</w:t>
            </w:r>
          </w:p>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bl>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lang w:eastAsia="zh-CN"/>
        </w:rPr>
      </w:pPr>
      <w:bookmarkStart w:id="6" w:name="_Toc19887"/>
      <w:r>
        <w:rPr>
          <w:rFonts w:hint="eastAsia" w:ascii="微软雅黑" w:hAnsi="微软雅黑" w:eastAsia="微软雅黑" w:cs="微软雅黑"/>
          <w:sz w:val="32"/>
          <w:szCs w:val="32"/>
        </w:rPr>
        <w:fldChar w:fldCharType="begin"/>
      </w:r>
      <w:r>
        <w:rPr>
          <w:rFonts w:hint="eastAsia" w:ascii="微软雅黑" w:hAnsi="微软雅黑" w:eastAsia="微软雅黑" w:cs="微软雅黑"/>
          <w:b/>
          <w:sz w:val="32"/>
          <w:szCs w:val="32"/>
          <w:u w:val="none"/>
          <w:lang w:eastAsia="zh-CN"/>
        </w:rPr>
        <w:instrText xml:space="preserve"> TC 6、执法经费绩效目标表 \f C \l 1 </w:instrText>
      </w:r>
      <w:r>
        <w:rPr>
          <w:rFonts w:hint="eastAsia" w:ascii="微软雅黑" w:hAnsi="微软雅黑" w:eastAsia="微软雅黑" w:cs="微软雅黑"/>
          <w:b/>
          <w:sz w:val="32"/>
          <w:szCs w:val="32"/>
          <w:u w:val="none"/>
          <w:lang w:eastAsia="zh-CN"/>
        </w:rPr>
        <w:fldChar w:fldCharType="end"/>
      </w:r>
      <w:bookmarkEnd w:id="6"/>
    </w:p>
    <w:tbl>
      <w:tblPr>
        <w:tblStyle w:val="11"/>
        <w:tblW w:w="10772" w:type="dxa"/>
        <w:jc w:val="center"/>
        <w:tblInd w:w="-13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3"/>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9071"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222002中国共产党隆尧县纪律检查委员会</w:t>
            </w:r>
          </w:p>
        </w:tc>
        <w:tc>
          <w:tcPr>
            <w:tcW w:w="1701" w:type="dxa"/>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93"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项目编码</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222-0401-JXN-4E8D</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项目名称</w:t>
            </w:r>
          </w:p>
        </w:tc>
        <w:tc>
          <w:tcPr>
            <w:tcW w:w="4281" w:type="dxa"/>
            <w:gridSpan w:val="3"/>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执法经费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93"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预算规模及资金用途</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预算数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1550000.00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其中：财政资金</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1550000.00</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其他资金</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93"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8279" w:type="dxa"/>
            <w:gridSpan w:val="6"/>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保障执纪问责工作顺利进行，确保党的各项方针政策落到实处，坚决查处违纪违法案件。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93"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资金支出计划（%）</w:t>
            </w: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3月底</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6月底</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10月底</w:t>
            </w:r>
          </w:p>
        </w:tc>
        <w:tc>
          <w:tcPr>
            <w:tcW w:w="2977"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93" w:type="dxa"/>
            <w:vMerge w:val="continue"/>
            <w:vAlign w:val="top"/>
          </w:tcPr>
          <w:p>
            <w:pPr>
              <w:keepNext w:val="0"/>
              <w:keepLines w:val="0"/>
              <w:pageBreakBefore w:val="0"/>
              <w:kinsoku/>
              <w:wordWrap/>
              <w:overflowPunct/>
              <w:topLinePunct w:val="0"/>
              <w:bidi w:val="0"/>
              <w:snapToGrid/>
              <w:spacing w:after="313" w:afterLines="100" w:line="480" w:lineRule="auto"/>
              <w:jc w:val="both"/>
              <w:textAlignment w:val="auto"/>
              <w:outlineLvl w:val="1"/>
              <w:rPr>
                <w:rFonts w:hint="eastAsia" w:ascii="微软雅黑" w:hAnsi="微软雅黑" w:eastAsia="微软雅黑" w:cs="微软雅黑"/>
                <w:b/>
                <w:sz w:val="32"/>
                <w:szCs w:val="32"/>
                <w:u w:val="none"/>
                <w:vertAlign w:val="baseline"/>
                <w:lang w:eastAsia="zh-CN"/>
              </w:rPr>
            </w:pPr>
          </w:p>
        </w:tc>
        <w:tc>
          <w:tcPr>
            <w:tcW w:w="2410"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15.00</w:t>
            </w:r>
          </w:p>
        </w:tc>
        <w:tc>
          <w:tcPr>
            <w:tcW w:w="1588"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60.00</w:t>
            </w:r>
          </w:p>
        </w:tc>
        <w:tc>
          <w:tcPr>
            <w:tcW w:w="130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80.00</w:t>
            </w:r>
          </w:p>
        </w:tc>
        <w:tc>
          <w:tcPr>
            <w:tcW w:w="2977"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93" w:type="dxa"/>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绩效目标</w:t>
            </w:r>
          </w:p>
        </w:tc>
        <w:tc>
          <w:tcPr>
            <w:tcW w:w="8279" w:type="dxa"/>
            <w:gridSpan w:val="6"/>
            <w:tcBorders>
              <w:bottom w:val="nil"/>
            </w:tcBorders>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1、巡视发现问题线索查结率</w:t>
            </w:r>
          </w:p>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2、群众举报问题线索查结率</w:t>
            </w:r>
          </w:p>
        </w:tc>
      </w:tr>
    </w:tbl>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9"/>
        <w:rPr>
          <w:rFonts w:hint="eastAsia" w:ascii="微软雅黑" w:hAnsi="微软雅黑" w:eastAsia="微软雅黑" w:cs="微软雅黑"/>
          <w:b/>
          <w:sz w:val="32"/>
          <w:szCs w:val="32"/>
          <w:u w:val="none"/>
          <w:lang w:eastAsia="zh-CN"/>
        </w:rPr>
      </w:pPr>
      <w:r>
        <w:rPr>
          <w:rFonts w:hint="eastAsia" w:ascii="微软雅黑" w:hAnsi="微软雅黑" w:eastAsia="微软雅黑" w:cs="微软雅黑"/>
          <w:b/>
          <w:sz w:val="32"/>
          <w:szCs w:val="32"/>
          <w:u w:val="none"/>
          <w:lang w:eastAsia="zh-CN"/>
        </w:rPr>
        <w:t xml:space="preserve"> </w:t>
      </w:r>
    </w:p>
    <w:tbl>
      <w:tblPr>
        <w:tblStyle w:val="11"/>
        <w:tblW w:w="10771" w:type="dxa"/>
        <w:jc w:val="center"/>
        <w:tblInd w:w="-13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2"/>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一级指标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二级指标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三级指标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绩效指标描述</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产出指标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时效指标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完成率</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按照要求和计划完成研究任务的项目在所有立项项目中的比例（百分比）</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执纪监督规则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效果指标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社会效益指标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群众满意度</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反映问题群众对纪委反馈结果的满意度</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执纪监督规则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满意度指标</w:t>
            </w:r>
          </w:p>
        </w:tc>
        <w:tc>
          <w:tcPr>
            <w:tcW w:w="1134"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服务对象满意度指标</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群众满意度</w:t>
            </w:r>
          </w:p>
        </w:tc>
        <w:tc>
          <w:tcPr>
            <w:tcW w:w="2892"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反映问题群众对纪委反馈结果的满意度</w:t>
            </w:r>
          </w:p>
        </w:tc>
        <w:tc>
          <w:tcPr>
            <w:tcW w:w="1276"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≥90百分比</w:t>
            </w:r>
          </w:p>
        </w:tc>
        <w:tc>
          <w:tcPr>
            <w:tcW w:w="1701" w:type="dxa"/>
            <w:vAlign w:val="center"/>
          </w:tcPr>
          <w:p>
            <w:pPr>
              <w:keepNext w:val="0"/>
              <w:keepLines w:val="0"/>
              <w:pageBreakBefore w:val="0"/>
              <w:kinsoku/>
              <w:wordWrap/>
              <w:overflowPunct/>
              <w:topLinePunct w:val="0"/>
              <w:bidi w:val="0"/>
              <w:snapToGrid/>
              <w:spacing w:after="313" w:afterLines="100" w:line="480" w:lineRule="auto"/>
              <w:jc w:val="both"/>
              <w:textAlignment w:val="auto"/>
              <w:outlineLvl w:val="9"/>
              <w:rPr>
                <w:rFonts w:hint="eastAsia" w:ascii="微软雅黑" w:hAnsi="微软雅黑" w:eastAsia="微软雅黑" w:cs="微软雅黑"/>
                <w:b/>
                <w:sz w:val="32"/>
                <w:szCs w:val="32"/>
                <w:u w:val="none"/>
                <w:vertAlign w:val="baseline"/>
                <w:lang w:eastAsia="zh-CN"/>
              </w:rPr>
            </w:pPr>
            <w:r>
              <w:rPr>
                <w:rFonts w:hint="eastAsia" w:ascii="微软雅黑" w:hAnsi="微软雅黑" w:eastAsia="微软雅黑" w:cs="微软雅黑"/>
                <w:b/>
                <w:sz w:val="32"/>
                <w:szCs w:val="32"/>
                <w:u w:val="none"/>
                <w:vertAlign w:val="baseline"/>
                <w:lang w:eastAsia="zh-CN"/>
              </w:rPr>
              <w:t>执纪监督规则</w:t>
            </w:r>
          </w:p>
        </w:tc>
      </w:tr>
    </w:tbl>
    <w:p>
      <w:pPr>
        <w:keepNext w:val="0"/>
        <w:keepLines w:val="0"/>
        <w:pageBreakBefore w:val="0"/>
        <w:kinsoku/>
        <w:wordWrap/>
        <w:overflowPunct/>
        <w:topLinePunct w:val="0"/>
        <w:autoSpaceDE w:val="0"/>
        <w:autoSpaceDN w:val="0"/>
        <w:bidi w:val="0"/>
        <w:adjustRightInd w:val="0"/>
        <w:snapToGrid/>
        <w:spacing w:after="313" w:afterLines="100" w:line="480" w:lineRule="auto"/>
        <w:jc w:val="both"/>
        <w:textAlignment w:val="auto"/>
        <w:rPr>
          <w:rFonts w:hint="eastAsia" w:ascii="微软雅黑" w:hAnsi="微软雅黑" w:eastAsia="微软雅黑" w:cs="微软雅黑"/>
          <w:sz w:val="32"/>
          <w:szCs w:val="32"/>
        </w:rPr>
      </w:pPr>
    </w:p>
    <w:p>
      <w:pPr>
        <w:keepNext w:val="0"/>
        <w:keepLines w:val="0"/>
        <w:pageBreakBefore w:val="0"/>
        <w:kinsoku/>
        <w:wordWrap/>
        <w:overflowPunct/>
        <w:topLinePunct w:val="0"/>
        <w:autoSpaceDE w:val="0"/>
        <w:autoSpaceDN w:val="0"/>
        <w:bidi w:val="0"/>
        <w:adjustRightInd w:val="0"/>
        <w:snapToGrid/>
        <w:spacing w:after="313" w:afterLines="100" w:line="480" w:lineRule="auto"/>
        <w:ind w:firstLine="960" w:firstLineChars="300"/>
        <w:jc w:val="both"/>
        <w:textAlignment w:val="auto"/>
        <w:rPr>
          <w:rFonts w:hint="eastAsia" w:ascii="微软雅黑" w:hAnsi="微软雅黑" w:eastAsia="微软雅黑" w:cs="微软雅黑"/>
          <w:sz w:val="32"/>
          <w:szCs w:val="32"/>
        </w:rPr>
      </w:pPr>
    </w:p>
    <w:p>
      <w:pPr>
        <w:keepNext w:val="0"/>
        <w:keepLines w:val="0"/>
        <w:pageBreakBefore w:val="0"/>
        <w:kinsoku/>
        <w:wordWrap/>
        <w:overflowPunct/>
        <w:topLinePunct w:val="0"/>
        <w:autoSpaceDE w:val="0"/>
        <w:autoSpaceDN w:val="0"/>
        <w:bidi w:val="0"/>
        <w:adjustRightInd w:val="0"/>
        <w:snapToGrid/>
        <w:spacing w:after="313" w:afterLines="100" w:line="480" w:lineRule="auto"/>
        <w:ind w:firstLine="960" w:firstLineChars="3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六、政府采购预算情况</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0"/>
        <w:rPr>
          <w:rFonts w:hint="eastAsia" w:ascii="微软雅黑" w:hAnsi="微软雅黑" w:eastAsia="微软雅黑" w:cs="微软雅黑"/>
          <w:sz w:val="32"/>
          <w:szCs w:val="32"/>
        </w:rPr>
      </w:pPr>
      <w:bookmarkStart w:id="7" w:name="_Toc471398468"/>
      <w:r>
        <w:rPr>
          <w:rFonts w:hint="eastAsia" w:ascii="微软雅黑" w:hAnsi="微软雅黑" w:eastAsia="微软雅黑" w:cs="微软雅黑"/>
          <w:sz w:val="32"/>
          <w:szCs w:val="32"/>
        </w:rPr>
        <w:t xml:space="preserve"> </w:t>
      </w:r>
      <w:r>
        <w:rPr>
          <w:rFonts w:hint="eastAsia" w:ascii="微软雅黑" w:hAnsi="微软雅黑" w:eastAsia="微软雅黑" w:cs="微软雅黑"/>
          <w:sz w:val="32"/>
          <w:szCs w:val="32"/>
          <w:lang w:eastAsia="zh-CN"/>
        </w:rPr>
        <w:t>2020</w:t>
      </w:r>
      <w:r>
        <w:rPr>
          <w:rFonts w:hint="eastAsia" w:ascii="微软雅黑" w:hAnsi="微软雅黑" w:eastAsia="微软雅黑" w:cs="微软雅黑"/>
          <w:sz w:val="32"/>
          <w:szCs w:val="32"/>
        </w:rPr>
        <w:t>年，我部门安排政府采购预算305.2万元。具体内容见下表。</w:t>
      </w:r>
      <w:bookmarkEnd w:id="7"/>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1"/>
        <w:gridCol w:w="1161"/>
        <w:gridCol w:w="827"/>
        <w:gridCol w:w="951"/>
        <w:gridCol w:w="502"/>
        <w:gridCol w:w="741"/>
        <w:gridCol w:w="1161"/>
        <w:gridCol w:w="1275"/>
        <w:gridCol w:w="1275"/>
        <w:gridCol w:w="1275"/>
        <w:gridCol w:w="688"/>
        <w:gridCol w:w="818"/>
        <w:gridCol w:w="818"/>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644" w:type="dxa"/>
            <w:gridSpan w:val="7"/>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222隆尧县纪委</w:t>
            </w:r>
          </w:p>
        </w:tc>
        <w:tc>
          <w:tcPr>
            <w:tcW w:w="6924" w:type="dxa"/>
            <w:gridSpan w:val="7"/>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2" w:type="dxa"/>
            <w:gridSpan w:val="2"/>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政府采购项目来源</w:t>
            </w:r>
          </w:p>
        </w:tc>
        <w:tc>
          <w:tcPr>
            <w:tcW w:w="827"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采购物品名称</w:t>
            </w:r>
          </w:p>
        </w:tc>
        <w:tc>
          <w:tcPr>
            <w:tcW w:w="951"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政府采购目录序号</w:t>
            </w:r>
          </w:p>
        </w:tc>
        <w:tc>
          <w:tcPr>
            <w:tcW w:w="502"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数量  单位</w:t>
            </w:r>
          </w:p>
        </w:tc>
        <w:tc>
          <w:tcPr>
            <w:tcW w:w="741"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数量</w:t>
            </w:r>
          </w:p>
        </w:tc>
        <w:tc>
          <w:tcPr>
            <w:tcW w:w="1161"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单价</w:t>
            </w:r>
          </w:p>
        </w:tc>
        <w:tc>
          <w:tcPr>
            <w:tcW w:w="6924" w:type="dxa"/>
            <w:gridSpan w:val="7"/>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01"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项目名称</w:t>
            </w:r>
          </w:p>
        </w:tc>
        <w:tc>
          <w:tcPr>
            <w:tcW w:w="1161"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预算资金</w:t>
            </w:r>
          </w:p>
        </w:tc>
        <w:tc>
          <w:tcPr>
            <w:tcW w:w="827"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951"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502"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741"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1161"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1275"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总计</w:t>
            </w:r>
          </w:p>
        </w:tc>
        <w:tc>
          <w:tcPr>
            <w:tcW w:w="4874" w:type="dxa"/>
            <w:gridSpan w:val="5"/>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当年部门预算安排资金</w:t>
            </w:r>
          </w:p>
        </w:tc>
        <w:tc>
          <w:tcPr>
            <w:tcW w:w="775" w:type="dxa"/>
            <w:vMerge w:val="restart"/>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01"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1161"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827"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951"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502"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741"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1161"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1275"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合计</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一般公共预算拨款</w:t>
            </w:r>
          </w:p>
        </w:tc>
        <w:tc>
          <w:tcPr>
            <w:tcW w:w="68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基金预算拨款</w:t>
            </w: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财政专户核拨</w:t>
            </w: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其他来源收入</w:t>
            </w:r>
          </w:p>
        </w:tc>
        <w:tc>
          <w:tcPr>
            <w:tcW w:w="775" w:type="dxa"/>
            <w:vMerge w:val="continue"/>
            <w:vAlign w:val="center"/>
          </w:tcPr>
          <w:p>
            <w:pPr>
              <w:keepNext w:val="0"/>
              <w:keepLines w:val="0"/>
              <w:pageBreakBefore w:val="0"/>
              <w:kinsoku/>
              <w:wordWrap/>
              <w:overflowPunct/>
              <w:topLinePunct w:val="0"/>
              <w:bidi w:val="0"/>
              <w:snapToGrid/>
              <w:spacing w:after="313" w:afterLines="100" w:line="480" w:lineRule="auto"/>
              <w:jc w:val="both"/>
              <w:textAlignment w:val="auto"/>
              <w:outlineLvl w:val="0"/>
              <w:rPr>
                <w:rFonts w:hint="eastAsia" w:ascii="微软雅黑" w:hAnsi="微软雅黑" w:eastAsia="微软雅黑" w:cs="微软雅黑"/>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合　计</w:t>
            </w: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827"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95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502"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74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120000.</w:t>
            </w:r>
          </w:p>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120000.</w:t>
            </w:r>
          </w:p>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120000.</w:t>
            </w:r>
          </w:p>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00</w:t>
            </w:r>
          </w:p>
        </w:tc>
        <w:tc>
          <w:tcPr>
            <w:tcW w:w="68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7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中国共产党隆尧县纪律检查委员会小计</w:t>
            </w: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827"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95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502"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74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120000.</w:t>
            </w:r>
          </w:p>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3051730.00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120000.</w:t>
            </w:r>
          </w:p>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00</w:t>
            </w:r>
          </w:p>
        </w:tc>
        <w:tc>
          <w:tcPr>
            <w:tcW w:w="68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c>
          <w:tcPr>
            <w:tcW w:w="7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乡镇纪委工作保障经费</w:t>
            </w: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24</w:t>
            </w:r>
            <w:r>
              <w:rPr>
                <w:rFonts w:hint="eastAsia" w:ascii="微软雅黑" w:hAnsi="微软雅黑" w:eastAsia="微软雅黑" w:cs="微软雅黑"/>
                <w:sz w:val="32"/>
                <w:szCs w:val="32"/>
              </w:rPr>
              <w:t>0000.00</w:t>
            </w:r>
          </w:p>
        </w:tc>
        <w:tc>
          <w:tcPr>
            <w:tcW w:w="827"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办公设备</w:t>
            </w:r>
          </w:p>
        </w:tc>
        <w:tc>
          <w:tcPr>
            <w:tcW w:w="95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A0202</w:t>
            </w:r>
          </w:p>
        </w:tc>
        <w:tc>
          <w:tcPr>
            <w:tcW w:w="502"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台</w:t>
            </w:r>
          </w:p>
        </w:tc>
        <w:tc>
          <w:tcPr>
            <w:tcW w:w="74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10</w:t>
            </w: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5000.00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50000.00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50000.00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50000.00</w:t>
            </w:r>
          </w:p>
        </w:tc>
        <w:tc>
          <w:tcPr>
            <w:tcW w:w="68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7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县委巡察办日常保障经费</w:t>
            </w: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550000</w:t>
            </w:r>
            <w:r>
              <w:rPr>
                <w:rFonts w:hint="eastAsia" w:ascii="微软雅黑" w:hAnsi="微软雅黑" w:eastAsia="微软雅黑" w:cs="微软雅黑"/>
                <w:sz w:val="32"/>
                <w:szCs w:val="32"/>
              </w:rPr>
              <w:t>.00</w:t>
            </w:r>
          </w:p>
        </w:tc>
        <w:tc>
          <w:tcPr>
            <w:tcW w:w="827"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办公设备</w:t>
            </w:r>
          </w:p>
        </w:tc>
        <w:tc>
          <w:tcPr>
            <w:tcW w:w="95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A0202</w:t>
            </w:r>
          </w:p>
        </w:tc>
        <w:tc>
          <w:tcPr>
            <w:tcW w:w="502"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台</w:t>
            </w:r>
          </w:p>
        </w:tc>
        <w:tc>
          <w:tcPr>
            <w:tcW w:w="74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4</w:t>
            </w: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val="en-US" w:eastAsia="zh-CN"/>
              </w:rPr>
              <w:t>2500.00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10000</w:t>
            </w:r>
            <w:r>
              <w:rPr>
                <w:rFonts w:hint="eastAsia" w:ascii="微软雅黑" w:hAnsi="微软雅黑" w:eastAsia="微软雅黑" w:cs="微软雅黑"/>
                <w:sz w:val="32"/>
                <w:szCs w:val="32"/>
              </w:rPr>
              <w:t>.00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10000</w:t>
            </w:r>
            <w:r>
              <w:rPr>
                <w:rFonts w:hint="eastAsia" w:ascii="微软雅黑" w:hAnsi="微软雅黑" w:eastAsia="微软雅黑" w:cs="微软雅黑"/>
                <w:sz w:val="32"/>
                <w:szCs w:val="32"/>
              </w:rPr>
              <w:t>.00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10000</w:t>
            </w:r>
            <w:r>
              <w:rPr>
                <w:rFonts w:hint="eastAsia" w:ascii="微软雅黑" w:hAnsi="微软雅黑" w:eastAsia="微软雅黑" w:cs="微软雅黑"/>
                <w:sz w:val="32"/>
                <w:szCs w:val="32"/>
              </w:rPr>
              <w:t>.00</w:t>
            </w:r>
          </w:p>
        </w:tc>
        <w:tc>
          <w:tcPr>
            <w:tcW w:w="68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7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执法经费</w:t>
            </w: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155</w:t>
            </w:r>
            <w:r>
              <w:rPr>
                <w:rFonts w:hint="eastAsia" w:ascii="微软雅黑" w:hAnsi="微软雅黑" w:eastAsia="微软雅黑" w:cs="微软雅黑"/>
                <w:sz w:val="32"/>
                <w:szCs w:val="32"/>
              </w:rPr>
              <w:t>0000.00</w:t>
            </w:r>
          </w:p>
        </w:tc>
        <w:tc>
          <w:tcPr>
            <w:tcW w:w="827"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办公设备</w:t>
            </w:r>
          </w:p>
        </w:tc>
        <w:tc>
          <w:tcPr>
            <w:tcW w:w="95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A0202</w:t>
            </w:r>
          </w:p>
        </w:tc>
        <w:tc>
          <w:tcPr>
            <w:tcW w:w="502"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台</w:t>
            </w:r>
          </w:p>
        </w:tc>
        <w:tc>
          <w:tcPr>
            <w:tcW w:w="74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val="en-US" w:eastAsia="zh-CN"/>
              </w:rPr>
              <w:t>12</w:t>
            </w:r>
          </w:p>
        </w:tc>
        <w:tc>
          <w:tcPr>
            <w:tcW w:w="1161"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5000.00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val="en-US" w:eastAsia="zh-CN"/>
              </w:rPr>
              <w:t>60000.00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val="en-US" w:eastAsia="zh-CN"/>
              </w:rPr>
              <w:t>60000.00</w:t>
            </w:r>
          </w:p>
        </w:tc>
        <w:tc>
          <w:tcPr>
            <w:tcW w:w="12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60000.00</w:t>
            </w:r>
          </w:p>
        </w:tc>
        <w:tc>
          <w:tcPr>
            <w:tcW w:w="68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818"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c>
          <w:tcPr>
            <w:tcW w:w="775" w:type="dxa"/>
            <w:vAlign w:val="center"/>
          </w:tcPr>
          <w:p>
            <w:pPr>
              <w:keepNext w:val="0"/>
              <w:keepLines w:val="0"/>
              <w:pageBreakBefore w:val="0"/>
              <w:kinsoku/>
              <w:wordWrap/>
              <w:overflowPunct/>
              <w:topLinePunct w:val="0"/>
              <w:bidi w:val="0"/>
              <w:snapToGrid/>
              <w:spacing w:after="313" w:afterLines="100" w:line="480" w:lineRule="auto"/>
              <w:jc w:val="both"/>
              <w:textAlignment w:val="auto"/>
              <w:rPr>
                <w:rFonts w:hint="eastAsia" w:ascii="微软雅黑" w:hAnsi="微软雅黑" w:eastAsia="微软雅黑" w:cs="微软雅黑"/>
                <w:sz w:val="32"/>
                <w:szCs w:val="32"/>
              </w:rPr>
            </w:pPr>
          </w:p>
        </w:tc>
      </w:tr>
    </w:tbl>
    <w:p>
      <w:pPr>
        <w:keepNext w:val="0"/>
        <w:keepLines w:val="0"/>
        <w:pageBreakBefore w:val="0"/>
        <w:kinsoku/>
        <w:wordWrap/>
        <w:overflowPunct/>
        <w:topLinePunct w:val="0"/>
        <w:bidi w:val="0"/>
        <w:snapToGrid/>
        <w:spacing w:after="313" w:afterLines="100" w:line="480" w:lineRule="auto"/>
        <w:ind w:firstLine="640" w:firstLineChars="200"/>
        <w:jc w:val="both"/>
        <w:textAlignment w:val="auto"/>
        <w:outlineLvl w:val="0"/>
        <w:rPr>
          <w:rFonts w:hint="eastAsia" w:ascii="微软雅黑" w:hAnsi="微软雅黑" w:eastAsia="微软雅黑" w:cs="微软雅黑"/>
          <w:sz w:val="32"/>
          <w:szCs w:val="32"/>
        </w:rPr>
      </w:pPr>
    </w:p>
    <w:p>
      <w:pPr>
        <w:keepNext w:val="0"/>
        <w:keepLines w:val="0"/>
        <w:pageBreakBefore w:val="0"/>
        <w:kinsoku/>
        <w:wordWrap/>
        <w:overflowPunct/>
        <w:topLinePunct w:val="0"/>
        <w:autoSpaceDE w:val="0"/>
        <w:autoSpaceDN w:val="0"/>
        <w:bidi w:val="0"/>
        <w:adjustRightInd w:val="0"/>
        <w:snapToGrid/>
        <w:spacing w:after="313" w:afterLines="100" w:line="480" w:lineRule="auto"/>
        <w:ind w:firstLine="640" w:firstLineChars="200"/>
        <w:jc w:val="both"/>
        <w:textAlignment w:val="auto"/>
        <w:rPr>
          <w:rFonts w:hint="eastAsia" w:ascii="微软雅黑" w:hAnsi="微软雅黑" w:eastAsia="微软雅黑" w:cs="微软雅黑"/>
          <w:color w:val="000000"/>
          <w:sz w:val="32"/>
          <w:szCs w:val="32"/>
        </w:rPr>
      </w:pPr>
      <w:r>
        <w:rPr>
          <w:rFonts w:hint="eastAsia" w:ascii="微软雅黑" w:hAnsi="微软雅黑" w:eastAsia="微软雅黑" w:cs="微软雅黑"/>
          <w:sz w:val="32"/>
          <w:szCs w:val="32"/>
        </w:rPr>
        <w:t>七、国有资产信息</w:t>
      </w:r>
    </w:p>
    <w:p>
      <w:pPr>
        <w:keepNext w:val="0"/>
        <w:keepLines w:val="0"/>
        <w:pageBreakBefore w:val="0"/>
        <w:kinsoku/>
        <w:wordWrap/>
        <w:overflowPunct/>
        <w:topLinePunct w:val="0"/>
        <w:bidi w:val="0"/>
        <w:snapToGrid/>
        <w:spacing w:after="313" w:afterLines="100" w:line="480" w:lineRule="auto"/>
        <w:ind w:firstLine="640"/>
        <w:jc w:val="both"/>
        <w:textAlignment w:val="auto"/>
        <w:rPr>
          <w:rFonts w:hint="eastAsia" w:ascii="微软雅黑" w:hAnsi="微软雅黑" w:eastAsia="微软雅黑" w:cs="微软雅黑"/>
          <w:color w:val="000000"/>
          <w:sz w:val="32"/>
          <w:szCs w:val="32"/>
        </w:rPr>
      </w:pPr>
      <w:r>
        <w:rPr>
          <w:rFonts w:hint="eastAsia" w:ascii="微软雅黑" w:hAnsi="微软雅黑" w:eastAsia="微软雅黑" w:cs="微软雅黑"/>
          <w:color w:val="000000"/>
          <w:sz w:val="32"/>
          <w:szCs w:val="32"/>
        </w:rPr>
        <w:t>隆尧县纪委201</w:t>
      </w:r>
      <w:r>
        <w:rPr>
          <w:rFonts w:hint="eastAsia" w:ascii="微软雅黑" w:hAnsi="微软雅黑" w:eastAsia="微软雅黑" w:cs="微软雅黑"/>
          <w:color w:val="000000"/>
          <w:sz w:val="32"/>
          <w:szCs w:val="32"/>
          <w:lang w:val="en-US" w:eastAsia="zh-CN"/>
        </w:rPr>
        <w:t>9</w:t>
      </w:r>
      <w:r>
        <w:rPr>
          <w:rFonts w:hint="eastAsia" w:ascii="微软雅黑" w:hAnsi="微软雅黑" w:eastAsia="微软雅黑" w:cs="微软雅黑"/>
          <w:color w:val="000000"/>
          <w:sz w:val="32"/>
          <w:szCs w:val="32"/>
        </w:rPr>
        <w:t>年末固定资产金额为</w:t>
      </w:r>
      <w:r>
        <w:rPr>
          <w:rFonts w:hint="eastAsia" w:ascii="微软雅黑" w:hAnsi="微软雅黑" w:eastAsia="微软雅黑" w:cs="微软雅黑"/>
          <w:color w:val="000000"/>
          <w:sz w:val="32"/>
          <w:szCs w:val="32"/>
          <w:lang w:val="en-US" w:eastAsia="zh-CN"/>
        </w:rPr>
        <w:t>312</w:t>
      </w:r>
      <w:r>
        <w:rPr>
          <w:rFonts w:hint="eastAsia" w:ascii="微软雅黑" w:hAnsi="微软雅黑" w:eastAsia="微软雅黑" w:cs="微软雅黑"/>
          <w:color w:val="000000"/>
          <w:sz w:val="32"/>
          <w:szCs w:val="32"/>
        </w:rPr>
        <w:t>万元（详见下表），本年度各单位（处室）拟购置固定资产总额为</w:t>
      </w:r>
      <w:r>
        <w:rPr>
          <w:rFonts w:hint="eastAsia" w:ascii="微软雅黑" w:hAnsi="微软雅黑" w:eastAsia="微软雅黑" w:cs="微软雅黑"/>
          <w:color w:val="000000"/>
          <w:sz w:val="32"/>
          <w:szCs w:val="32"/>
          <w:lang w:val="en-US" w:eastAsia="zh-CN"/>
        </w:rPr>
        <w:t>11</w:t>
      </w:r>
      <w:r>
        <w:rPr>
          <w:rFonts w:hint="eastAsia" w:ascii="微软雅黑" w:hAnsi="微软雅黑" w:eastAsia="微软雅黑" w:cs="微软雅黑"/>
          <w:color w:val="000000"/>
          <w:sz w:val="32"/>
          <w:szCs w:val="32"/>
        </w:rPr>
        <w:t>万元，主要为计算机、一体机、空调、打印机、投影仪、办公家具、印刷设备等，已列入政府采购预算表，详见政府采购预算表。</w:t>
      </w:r>
    </w:p>
    <w:tbl>
      <w:tblPr>
        <w:tblStyle w:val="10"/>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编制部门：隆尧县纪委</w:t>
            </w:r>
          </w:p>
        </w:tc>
        <w:tc>
          <w:tcPr>
            <w:tcW w:w="5103"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after="313" w:afterLines="100" w:line="480" w:lineRule="auto"/>
              <w:ind w:firstLine="1920" w:firstLineChars="600"/>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截止时间：2018年12月31日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项目</w:t>
            </w:r>
          </w:p>
        </w:tc>
        <w:tc>
          <w:tcPr>
            <w:tcW w:w="3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资产总额</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color w:val="FF0000"/>
                <w:kern w:val="0"/>
                <w:sz w:val="32"/>
                <w:szCs w:val="32"/>
                <w:lang w:eastAsia="zh-CN"/>
              </w:rPr>
            </w:pPr>
            <w:r>
              <w:rPr>
                <w:rFonts w:hint="eastAsia" w:ascii="微软雅黑" w:hAnsi="微软雅黑" w:eastAsia="微软雅黑" w:cs="微软雅黑"/>
                <w:color w:val="000000"/>
                <w:kern w:val="0"/>
                <w:sz w:val="32"/>
                <w:szCs w:val="32"/>
                <w:lang w:val="en-US" w:eastAsia="zh-CN"/>
              </w:rPr>
              <w:t>310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1、房屋（平方米）</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2、车辆（台、辆）</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10</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115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3、其他设备</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lang w:eastAsia="zh-CN"/>
              </w:rPr>
            </w:pPr>
            <w:r>
              <w:rPr>
                <w:rFonts w:hint="eastAsia" w:ascii="微软雅黑" w:hAnsi="微软雅黑" w:eastAsia="微软雅黑" w:cs="微软雅黑"/>
                <w:kern w:val="0"/>
                <w:sz w:val="32"/>
                <w:szCs w:val="32"/>
                <w:lang w:val="en-US" w:eastAsia="zh-CN"/>
              </w:rPr>
              <w:t>195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4、其他固定资产</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r>
              <w:rPr>
                <w:rFonts w:hint="eastAsia" w:ascii="微软雅黑" w:hAnsi="微软雅黑" w:eastAsia="微软雅黑" w:cs="微软雅黑"/>
                <w:kern w:val="0"/>
                <w:sz w:val="32"/>
                <w:szCs w:val="32"/>
              </w:rPr>
              <w:t>——</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after="313" w:afterLines="100" w:line="480" w:lineRule="auto"/>
              <w:jc w:val="both"/>
              <w:textAlignment w:val="auto"/>
              <w:rPr>
                <w:rFonts w:hint="eastAsia" w:ascii="微软雅黑" w:hAnsi="微软雅黑" w:eastAsia="微软雅黑" w:cs="微软雅黑"/>
                <w:kern w:val="0"/>
                <w:sz w:val="32"/>
                <w:szCs w:val="32"/>
              </w:rPr>
            </w:pPr>
          </w:p>
        </w:tc>
      </w:tr>
    </w:tbl>
    <w:p>
      <w:pPr>
        <w:keepNext w:val="0"/>
        <w:keepLines w:val="0"/>
        <w:pageBreakBefore w:val="0"/>
        <w:kinsoku/>
        <w:wordWrap/>
        <w:overflowPunct/>
        <w:topLinePunct w:val="0"/>
        <w:autoSpaceDE w:val="0"/>
        <w:autoSpaceDN w:val="0"/>
        <w:bidi w:val="0"/>
        <w:adjustRightInd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八、名词解释</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1、一般公共预算拨款收入：指省级财政当年拨付的资金。</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2、事业收入：指事业单位开展专业业务活动及辅助活动所取得的收入。</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3、其他收入：指除“一般公共预算拨款收入”、“事业收入”等以外的收入。主要是按规定动用的租房收入、存款利息收入等。</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4、基本支出：指为保障机构正常运转、完成日常工作任务而发生的人员支出和公用支出。</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5、项目支出：指在基本支出之外为完成特定行政任务和事业发展目标所发生的支出。</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6、上缴上级支出：指下级单位上缴上级的支出。</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9、上年结转：指以前年度尚未完成、结转到本年仍按原规定用途继续使用的资金。</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10、事业单位经营支出：指事业单位在专业业务活动及其辅助活动之外开展非独立核算经营活动发生的支出。</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九、其他需要说明的事项</w:t>
      </w:r>
    </w:p>
    <w:p>
      <w:pPr>
        <w:keepNext w:val="0"/>
        <w:keepLines w:val="0"/>
        <w:pageBreakBefore w:val="0"/>
        <w:kinsoku/>
        <w:wordWrap/>
        <w:overflowPunct/>
        <w:topLinePunct w:val="0"/>
        <w:bidi w:val="0"/>
        <w:snapToGrid/>
        <w:spacing w:after="313" w:afterLines="100" w:line="480" w:lineRule="auto"/>
        <w:ind w:firstLine="640" w:firstLineChars="200"/>
        <w:jc w:val="both"/>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roma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8"/>
      </w:rPr>
      <w:instrText xml:space="preserve"> PAGE  </w:instrText>
    </w:r>
    <w:r>
      <w:fldChar w:fldCharType="separate"/>
    </w:r>
    <w:r>
      <w:rPr>
        <w:rStyle w:val="8"/>
      </w:rPr>
      <w:t>3</w:t>
    </w:r>
    <w:r>
      <w:fldChar w:fldCharType="end"/>
    </w:r>
  </w:p>
  <w:p>
    <w:pPr>
      <w:pStyle w:val="2"/>
      <w:ind w:right="360" w:firstLine="360" w:firstLineChars="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CC4"/>
    <w:rsid w:val="0000235E"/>
    <w:rsid w:val="00183FE1"/>
    <w:rsid w:val="00192304"/>
    <w:rsid w:val="001B23C6"/>
    <w:rsid w:val="002E5AFD"/>
    <w:rsid w:val="003F4292"/>
    <w:rsid w:val="0046545D"/>
    <w:rsid w:val="007941F0"/>
    <w:rsid w:val="00A5050A"/>
    <w:rsid w:val="00C40AA4"/>
    <w:rsid w:val="00C67CC4"/>
    <w:rsid w:val="00EC3709"/>
    <w:rsid w:val="00F73D27"/>
    <w:rsid w:val="00FB11BE"/>
    <w:rsid w:val="01B60E83"/>
    <w:rsid w:val="02D17B65"/>
    <w:rsid w:val="02E35EE8"/>
    <w:rsid w:val="03B905F2"/>
    <w:rsid w:val="0AF84D56"/>
    <w:rsid w:val="0E497A99"/>
    <w:rsid w:val="110D6473"/>
    <w:rsid w:val="117D2807"/>
    <w:rsid w:val="11D2522E"/>
    <w:rsid w:val="1419518A"/>
    <w:rsid w:val="156C08B2"/>
    <w:rsid w:val="16844820"/>
    <w:rsid w:val="19B541EB"/>
    <w:rsid w:val="1CAE3224"/>
    <w:rsid w:val="1DA970AA"/>
    <w:rsid w:val="1F007F89"/>
    <w:rsid w:val="23A01FD9"/>
    <w:rsid w:val="28601C2C"/>
    <w:rsid w:val="31C65502"/>
    <w:rsid w:val="358B1DA9"/>
    <w:rsid w:val="35B66B21"/>
    <w:rsid w:val="36056DB2"/>
    <w:rsid w:val="38DD203D"/>
    <w:rsid w:val="3911461A"/>
    <w:rsid w:val="391E7700"/>
    <w:rsid w:val="3A196A93"/>
    <w:rsid w:val="3BE12D6F"/>
    <w:rsid w:val="3CF647CC"/>
    <w:rsid w:val="3DF22871"/>
    <w:rsid w:val="3E050D45"/>
    <w:rsid w:val="495A4E81"/>
    <w:rsid w:val="49806BCC"/>
    <w:rsid w:val="4B9877F6"/>
    <w:rsid w:val="4D9A068A"/>
    <w:rsid w:val="52291F20"/>
    <w:rsid w:val="52BB7FC3"/>
    <w:rsid w:val="549E302C"/>
    <w:rsid w:val="589F57E3"/>
    <w:rsid w:val="59A1233C"/>
    <w:rsid w:val="5A576ECE"/>
    <w:rsid w:val="5A8539F4"/>
    <w:rsid w:val="5A88760E"/>
    <w:rsid w:val="5CBF5E78"/>
    <w:rsid w:val="5DC92643"/>
    <w:rsid w:val="618E0C99"/>
    <w:rsid w:val="621250A2"/>
    <w:rsid w:val="68BD4F77"/>
    <w:rsid w:val="6B231DDA"/>
    <w:rsid w:val="6C2E39A3"/>
    <w:rsid w:val="6D341725"/>
    <w:rsid w:val="6F3B255C"/>
    <w:rsid w:val="76835E4B"/>
    <w:rsid w:val="7A924E16"/>
    <w:rsid w:val="7C5B528D"/>
    <w:rsid w:val="7F0B34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toc 1"/>
    <w:basedOn w:val="1"/>
    <w:next w:val="1"/>
    <w:semiHidden/>
    <w:uiPriority w:val="99"/>
    <w:rPr>
      <w:rFonts w:ascii="Times New Roman" w:hAnsi="Times New Roman" w:cs="Times New Roman"/>
    </w:rPr>
  </w:style>
  <w:style w:type="paragraph" w:styleId="5">
    <w:name w:val="footnote text"/>
    <w:basedOn w:val="1"/>
    <w:link w:val="14"/>
    <w:semiHidden/>
    <w:uiPriority w:val="99"/>
    <w:pPr>
      <w:snapToGrid w:val="0"/>
      <w:jc w:val="left"/>
    </w:pPr>
    <w:rPr>
      <w:sz w:val="18"/>
      <w:szCs w:val="18"/>
    </w:rPr>
  </w:style>
  <w:style w:type="paragraph" w:styleId="6">
    <w:name w:val="toc 2"/>
    <w:basedOn w:val="1"/>
    <w:next w:val="1"/>
    <w:semiHidden/>
    <w:qFormat/>
    <w:uiPriority w:val="99"/>
    <w:pPr>
      <w:ind w:left="420" w:leftChars="200"/>
    </w:pPr>
    <w:rPr>
      <w:rFonts w:ascii="Times New Roman" w:hAnsi="Times New Roman" w:cs="Times New Roman"/>
    </w:rPr>
  </w:style>
  <w:style w:type="character" w:styleId="8">
    <w:name w:val="page number"/>
    <w:basedOn w:val="7"/>
    <w:unhideWhenUsed/>
    <w:uiPriority w:val="99"/>
  </w:style>
  <w:style w:type="character" w:styleId="9">
    <w:name w:val="footnote reference"/>
    <w:basedOn w:val="7"/>
    <w:semiHidden/>
    <w:qFormat/>
    <w:uiPriority w:val="99"/>
    <w:rPr>
      <w:vertAlign w:val="superscript"/>
    </w:rPr>
  </w:style>
  <w:style w:type="table" w:styleId="11">
    <w:name w:val="Table Grid"/>
    <w:basedOn w:val="10"/>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oter Char"/>
    <w:basedOn w:val="7"/>
    <w:link w:val="2"/>
    <w:semiHidden/>
    <w:locked/>
    <w:uiPriority w:val="99"/>
    <w:rPr>
      <w:rFonts w:ascii="Times New Roman" w:hAnsi="Times New Roman" w:eastAsia="宋体" w:cs="Times New Roman"/>
      <w:sz w:val="18"/>
      <w:szCs w:val="18"/>
    </w:rPr>
  </w:style>
  <w:style w:type="character" w:customStyle="1" w:styleId="13">
    <w:name w:val="Header Char"/>
    <w:basedOn w:val="7"/>
    <w:link w:val="3"/>
    <w:semiHidden/>
    <w:locked/>
    <w:uiPriority w:val="99"/>
    <w:rPr>
      <w:rFonts w:ascii="Times New Roman" w:hAnsi="Times New Roman" w:eastAsia="宋体" w:cs="Times New Roman"/>
      <w:sz w:val="18"/>
      <w:szCs w:val="18"/>
    </w:rPr>
  </w:style>
  <w:style w:type="character" w:customStyle="1" w:styleId="14">
    <w:name w:val="Footnote Text Char"/>
    <w:basedOn w:val="7"/>
    <w:link w:val="5"/>
    <w:semiHidden/>
    <w:uiPriority w:val="99"/>
    <w:rPr>
      <w:rFonts w:ascii="Calibri" w:hAnsi="Calibri" w:cs="Calibri"/>
      <w:sz w:val="18"/>
      <w:szCs w:val="18"/>
    </w:rPr>
  </w:style>
  <w:style w:type="paragraph" w:customStyle="1" w:styleId="15">
    <w:name w:val="Char"/>
    <w:basedOn w:val="1"/>
    <w:qFormat/>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13</Pages>
  <Words>911</Words>
  <Characters>5198</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2017-01-23T09:29:00Z</dcterms:created>
  <dc:creator>guest</dc:creator>
  <cp:lastModifiedBy>lenovo</cp:lastModifiedBy>
  <cp:lastPrinted>2017-02-10T09:57:00Z</cp:lastPrinted>
  <dcterms:modified xsi:type="dcterms:W3CDTF">2020-09-01T01:33:01Z</dcterms:modified>
  <dc:title>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